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41EB9" w14:textId="1A28073E" w:rsidR="00CA092C" w:rsidRDefault="006F35AC" w:rsidP="3E4D8C46">
      <w:r>
        <w:rPr>
          <w:noProof/>
        </w:rPr>
        <mc:AlternateContent>
          <mc:Choice Requires="wps">
            <w:drawing>
              <wp:anchor distT="0" distB="0" distL="114300" distR="114300" simplePos="0" relativeHeight="251658241" behindDoc="0" locked="1" layoutInCell="1" allowOverlap="1" wp14:anchorId="0CAA8961" wp14:editId="24B805BE">
                <wp:simplePos x="0" y="0"/>
                <wp:positionH relativeFrom="margin">
                  <wp:align>right</wp:align>
                </wp:positionH>
                <wp:positionV relativeFrom="margin">
                  <wp:align>center</wp:align>
                </wp:positionV>
                <wp:extent cx="3440430" cy="4191000"/>
                <wp:effectExtent l="0" t="0" r="0" b="0"/>
                <wp:wrapSquare wrapText="bothSides"/>
                <wp:docPr id="331482838" name="Text Box 331482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0430" cy="4191000"/>
                        </a:xfrm>
                        <a:prstGeom prst="rect">
                          <a:avLst/>
                        </a:prstGeom>
                        <a:noFill/>
                        <a:ln>
                          <a:noFill/>
                        </a:ln>
                      </wps:spPr>
                      <wps:txbx>
                        <w:txbxContent>
                          <w:p w14:paraId="41612280" w14:textId="77777777" w:rsidR="006F35AC" w:rsidRDefault="006F35AC" w:rsidP="006F35AC">
                            <w:pPr>
                              <w:spacing w:line="216" w:lineRule="auto"/>
                              <w:rPr>
                                <w:rFonts w:ascii="PT Sans" w:hAnsi="PT Sans"/>
                                <w:color w:val="FFFFFF" w:themeColor="background1"/>
                                <w:sz w:val="40"/>
                                <w:szCs w:val="40"/>
                              </w:rPr>
                            </w:pPr>
                          </w:p>
                          <w:p w14:paraId="46756CC1" w14:textId="6725DC03" w:rsidR="006F35AC" w:rsidRDefault="006F35AC" w:rsidP="006F35AC">
                            <w:pPr>
                              <w:spacing w:line="216" w:lineRule="auto"/>
                              <w:rPr>
                                <w:rFonts w:ascii="PT Sans" w:hAnsi="PT Sans"/>
                                <w:b/>
                                <w:color w:val="FFFFFF" w:themeColor="background1"/>
                                <w:sz w:val="36"/>
                                <w:szCs w:val="36"/>
                              </w:rPr>
                            </w:pPr>
                            <w:r>
                              <w:rPr>
                                <w:rFonts w:ascii="PT Sans" w:hAnsi="PT Sans"/>
                                <w:b/>
                                <w:color w:val="FFFFFF" w:themeColor="background1"/>
                                <w:sz w:val="36"/>
                                <w:szCs w:val="36"/>
                              </w:rPr>
                              <w:t xml:space="preserve">Penington Institute </w:t>
                            </w:r>
                            <w:r w:rsidR="00893468">
                              <w:rPr>
                                <w:rFonts w:ascii="PT Sans" w:hAnsi="PT Sans"/>
                                <w:b/>
                                <w:color w:val="FFFFFF" w:themeColor="background1"/>
                                <w:sz w:val="36"/>
                                <w:szCs w:val="36"/>
                              </w:rPr>
                              <w:t>submission</w:t>
                            </w:r>
                          </w:p>
                          <w:p w14:paraId="21DA034E" w14:textId="2103512C" w:rsidR="006F35AC" w:rsidRPr="003A1AB3" w:rsidRDefault="006F35AC" w:rsidP="006F35AC">
                            <w:pPr>
                              <w:spacing w:line="216" w:lineRule="auto"/>
                              <w:rPr>
                                <w:rFonts w:ascii="PT Sans" w:hAnsi="PT Sans"/>
                                <w:color w:val="FFFFFF" w:themeColor="background1"/>
                                <w:sz w:val="36"/>
                                <w:szCs w:val="36"/>
                              </w:rPr>
                            </w:pPr>
                            <w:r w:rsidRPr="007F6D69">
                              <w:rPr>
                                <w:rFonts w:ascii="PT Sans" w:hAnsi="PT Sans"/>
                                <w:color w:val="FFFFFF" w:themeColor="background1"/>
                                <w:sz w:val="36"/>
                                <w:szCs w:val="36"/>
                              </w:rPr>
                              <w:br/>
                            </w:r>
                            <w:r>
                              <w:rPr>
                                <w:rFonts w:ascii="PT Sans" w:hAnsi="PT Sans"/>
                                <w:color w:val="FFFFFF" w:themeColor="background1"/>
                                <w:sz w:val="32"/>
                                <w:szCs w:val="32"/>
                              </w:rPr>
                              <w:t xml:space="preserve">Drug and Alcohol Program (DAP) </w:t>
                            </w:r>
                            <w:r w:rsidR="0051118F">
                              <w:rPr>
                                <w:rFonts w:ascii="PT Sans" w:hAnsi="PT Sans"/>
                                <w:color w:val="FFFFFF" w:themeColor="background1"/>
                                <w:sz w:val="32"/>
                                <w:szCs w:val="32"/>
                              </w:rPr>
                              <w:t>C</w:t>
                            </w:r>
                            <w:r w:rsidR="00893468">
                              <w:rPr>
                                <w:rFonts w:ascii="PT Sans" w:hAnsi="PT Sans"/>
                                <w:color w:val="FFFFFF" w:themeColor="background1"/>
                                <w:sz w:val="32"/>
                                <w:szCs w:val="32"/>
                              </w:rPr>
                              <w:t xml:space="preserve">onsultation Stage 1 </w:t>
                            </w:r>
                            <w:r>
                              <w:rPr>
                                <w:rFonts w:ascii="PT Sans" w:hAnsi="PT Sans"/>
                                <w:color w:val="FFFFFF" w:themeColor="background1"/>
                                <w:sz w:val="32"/>
                                <w:szCs w:val="32"/>
                              </w:rPr>
                              <w:t xml:space="preserve">– Program Logic and Key Performance Indicators </w:t>
                            </w:r>
                          </w:p>
                          <w:p w14:paraId="43BD7CFC" w14:textId="77777777" w:rsidR="006F35AC" w:rsidRDefault="006F35AC" w:rsidP="006F35AC">
                            <w:pPr>
                              <w:spacing w:line="216" w:lineRule="auto"/>
                              <w:rPr>
                                <w:rFonts w:ascii="PT Sans" w:hAnsi="PT Sans"/>
                                <w:color w:val="FFFFFF" w:themeColor="background1"/>
                                <w:sz w:val="40"/>
                                <w:szCs w:val="40"/>
                              </w:rPr>
                            </w:pPr>
                          </w:p>
                          <w:p w14:paraId="5770AB7C" w14:textId="77777777" w:rsidR="006F35AC" w:rsidRPr="00367798" w:rsidRDefault="006F35AC" w:rsidP="006F35AC">
                            <w:pPr>
                              <w:spacing w:line="216" w:lineRule="auto"/>
                              <w:rPr>
                                <w:rFonts w:ascii="PT Sans" w:hAnsi="PT Sans"/>
                                <w:color w:val="FFFFFF" w:themeColor="background1"/>
                                <w:sz w:val="32"/>
                                <w:szCs w:val="32"/>
                              </w:rPr>
                            </w:pPr>
                            <w:r>
                              <w:rPr>
                                <w:rFonts w:ascii="PT Sans" w:hAnsi="PT Sans"/>
                                <w:color w:val="FFFFFF" w:themeColor="background1"/>
                                <w:sz w:val="32"/>
                                <w:szCs w:val="32"/>
                              </w:rPr>
                              <w:t>March 2026</w:t>
                            </w:r>
                          </w:p>
                          <w:p w14:paraId="186F8905" w14:textId="77777777" w:rsidR="006F35AC" w:rsidRPr="00367798" w:rsidRDefault="006F35AC" w:rsidP="006F35AC">
                            <w:pPr>
                              <w:spacing w:line="216" w:lineRule="auto"/>
                              <w:ind w:left="142"/>
                              <w:rPr>
                                <w:rFonts w:ascii="PT Sans" w:hAnsi="PT Sans"/>
                              </w:rPr>
                            </w:pPr>
                          </w:p>
                          <w:p w14:paraId="09E8378C" w14:textId="77777777" w:rsidR="006F35AC" w:rsidRPr="00367798" w:rsidRDefault="006F35AC" w:rsidP="006F35AC">
                            <w:pPr>
                              <w:tabs>
                                <w:tab w:val="right" w:pos="9072"/>
                              </w:tabs>
                              <w:rPr>
                                <w:rFonts w:ascii="PT Sans" w:hAnsi="PT Sans"/>
                                <w:color w:val="FFFFFF" w:themeColor="background1"/>
                                <w:sz w:val="28"/>
                                <w:szCs w:val="32"/>
                              </w:rPr>
                            </w:pPr>
                          </w:p>
                          <w:p w14:paraId="2CA7A836" w14:textId="77777777" w:rsidR="006F35AC" w:rsidRDefault="006F35AC" w:rsidP="006F35AC">
                            <w:pPr>
                              <w:spacing w:line="216" w:lineRule="auto"/>
                              <w:ind w:left="142"/>
                              <w:rPr>
                                <w:rFonts w:ascii="PT Sans" w:hAnsi="PT Sans"/>
                                <w:b/>
                                <w:color w:val="FFFFFF" w:themeColor="background1"/>
                                <w:sz w:val="50"/>
                              </w:rPr>
                            </w:pPr>
                          </w:p>
                          <w:p w14:paraId="36ECFBDB" w14:textId="77777777" w:rsidR="006F35AC" w:rsidRPr="00AD50FD" w:rsidRDefault="006F35AC" w:rsidP="006F35AC">
                            <w:pPr>
                              <w:spacing w:line="216" w:lineRule="auto"/>
                              <w:ind w:left="142"/>
                              <w:rPr>
                                <w:szCs w:val="36"/>
                              </w:rPr>
                            </w:pPr>
                            <w:r w:rsidRPr="000B6225">
                              <w:rPr>
                                <w:rFonts w:ascii="PT Sans" w:hAnsi="PT Sans"/>
                                <w:i/>
                                <w:color w:val="FFFFFF" w:themeColor="background1"/>
                                <w:sz w:val="4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AA8961" id="_x0000_t202" coordsize="21600,21600" o:spt="202" path="m,l,21600r21600,l21600,xe">
                <v:stroke joinstyle="miter"/>
                <v:path gradientshapeok="t" o:connecttype="rect"/>
              </v:shapetype>
              <v:shape id="Text Box 331482838" o:spid="_x0000_s1026" type="#_x0000_t202" style="position:absolute;margin-left:219.7pt;margin-top:0;width:270.9pt;height:330pt;z-index:251658241;visibility:visible;mso-wrap-style:square;mso-width-percent:0;mso-height-percent:0;mso-wrap-distance-left:9pt;mso-wrap-distance-top:0;mso-wrap-distance-right:9pt;mso-wrap-distance-bottom:0;mso-position-horizontal:right;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" filled="f" stroked="f">
                <v:textbox>
                  <w:txbxContent>
                    <w:p w14:paraId="41612280" w14:textId="77777777" w:rsidR="006F35AC" w:rsidRDefault="006F35AC" w:rsidP="006F35AC">
                      <w:pPr>
                        <w:spacing w:line="216" w:lineRule="auto"/>
                        <w:rPr>
                          <w:rFonts w:ascii="PT Sans" w:hAnsi="PT Sans"/>
                          <w:color w:val="FFFFFF" w:themeColor="background1"/>
                          <w:sz w:val="40"/>
                          <w:szCs w:val="40"/>
                        </w:rPr>
                      </w:pPr>
                    </w:p>
                    <w:p w14:paraId="46756CC1" w14:textId="6725DC03" w:rsidR="006F35AC" w:rsidRDefault="006F35AC" w:rsidP="006F35AC">
                      <w:pPr>
                        <w:spacing w:line="216" w:lineRule="auto"/>
                        <w:rPr>
                          <w:rFonts w:ascii="PT Sans" w:hAnsi="PT Sans"/>
                          <w:b/>
                          <w:color w:val="FFFFFF" w:themeColor="background1"/>
                          <w:sz w:val="36"/>
                          <w:szCs w:val="36"/>
                        </w:rPr>
                      </w:pPr>
                      <w:r>
                        <w:rPr>
                          <w:rFonts w:ascii="PT Sans" w:hAnsi="PT Sans"/>
                          <w:b/>
                          <w:color w:val="FFFFFF" w:themeColor="background1"/>
                          <w:sz w:val="36"/>
                          <w:szCs w:val="36"/>
                        </w:rPr>
                        <w:t xml:space="preserve">Penington Institute </w:t>
                      </w:r>
                      <w:r w:rsidR="00893468">
                        <w:rPr>
                          <w:rFonts w:ascii="PT Sans" w:hAnsi="PT Sans"/>
                          <w:b/>
                          <w:color w:val="FFFFFF" w:themeColor="background1"/>
                          <w:sz w:val="36"/>
                          <w:szCs w:val="36"/>
                        </w:rPr>
                        <w:t>submission</w:t>
                      </w:r>
                    </w:p>
                    <w:p w14:paraId="21DA034E" w14:textId="2103512C" w:rsidR="006F35AC" w:rsidRPr="003A1AB3" w:rsidRDefault="006F35AC" w:rsidP="006F35AC">
                      <w:pPr>
                        <w:spacing w:line="216" w:lineRule="auto"/>
                        <w:rPr>
                          <w:rFonts w:ascii="PT Sans" w:hAnsi="PT Sans"/>
                          <w:color w:val="FFFFFF" w:themeColor="background1"/>
                          <w:sz w:val="36"/>
                          <w:szCs w:val="36"/>
                        </w:rPr>
                      </w:pPr>
                      <w:r w:rsidRPr="007F6D69">
                        <w:rPr>
                          <w:rFonts w:ascii="PT Sans" w:hAnsi="PT Sans"/>
                          <w:color w:val="FFFFFF" w:themeColor="background1"/>
                          <w:sz w:val="36"/>
                          <w:szCs w:val="36"/>
                        </w:rPr>
                        <w:br/>
                      </w:r>
                      <w:r>
                        <w:rPr>
                          <w:rFonts w:ascii="PT Sans" w:hAnsi="PT Sans"/>
                          <w:color w:val="FFFFFF" w:themeColor="background1"/>
                          <w:sz w:val="32"/>
                          <w:szCs w:val="32"/>
                        </w:rPr>
                        <w:t xml:space="preserve">Drug and Alcohol Program (DAP) </w:t>
                      </w:r>
                      <w:r w:rsidR="0051118F">
                        <w:rPr>
                          <w:rFonts w:ascii="PT Sans" w:hAnsi="PT Sans"/>
                          <w:color w:val="FFFFFF" w:themeColor="background1"/>
                          <w:sz w:val="32"/>
                          <w:szCs w:val="32"/>
                        </w:rPr>
                        <w:t>C</w:t>
                      </w:r>
                      <w:r w:rsidR="00893468">
                        <w:rPr>
                          <w:rFonts w:ascii="PT Sans" w:hAnsi="PT Sans"/>
                          <w:color w:val="FFFFFF" w:themeColor="background1"/>
                          <w:sz w:val="32"/>
                          <w:szCs w:val="32"/>
                        </w:rPr>
                        <w:t xml:space="preserve">onsultation Stage 1 </w:t>
                      </w:r>
                      <w:r>
                        <w:rPr>
                          <w:rFonts w:ascii="PT Sans" w:hAnsi="PT Sans"/>
                          <w:color w:val="FFFFFF" w:themeColor="background1"/>
                          <w:sz w:val="32"/>
                          <w:szCs w:val="32"/>
                        </w:rPr>
                        <w:t xml:space="preserve">– Program Logic and Key Performance Indicators </w:t>
                      </w:r>
                    </w:p>
                    <w:p w14:paraId="43BD7CFC" w14:textId="77777777" w:rsidR="006F35AC" w:rsidRDefault="006F35AC" w:rsidP="006F35AC">
                      <w:pPr>
                        <w:spacing w:line="216" w:lineRule="auto"/>
                        <w:rPr>
                          <w:rFonts w:ascii="PT Sans" w:hAnsi="PT Sans"/>
                          <w:color w:val="FFFFFF" w:themeColor="background1"/>
                          <w:sz w:val="40"/>
                          <w:szCs w:val="40"/>
                        </w:rPr>
                      </w:pPr>
                    </w:p>
                    <w:p w14:paraId="5770AB7C" w14:textId="77777777" w:rsidR="006F35AC" w:rsidRPr="00367798" w:rsidRDefault="006F35AC" w:rsidP="006F35AC">
                      <w:pPr>
                        <w:spacing w:line="216" w:lineRule="auto"/>
                        <w:rPr>
                          <w:rFonts w:ascii="PT Sans" w:hAnsi="PT Sans"/>
                          <w:color w:val="FFFFFF" w:themeColor="background1"/>
                          <w:sz w:val="32"/>
                          <w:szCs w:val="32"/>
                        </w:rPr>
                      </w:pPr>
                      <w:r>
                        <w:rPr>
                          <w:rFonts w:ascii="PT Sans" w:hAnsi="PT Sans"/>
                          <w:color w:val="FFFFFF" w:themeColor="background1"/>
                          <w:sz w:val="32"/>
                          <w:szCs w:val="32"/>
                        </w:rPr>
                        <w:t>March 2026</w:t>
                      </w:r>
                    </w:p>
                    <w:p w14:paraId="186F8905" w14:textId="77777777" w:rsidR="006F35AC" w:rsidRPr="00367798" w:rsidRDefault="006F35AC" w:rsidP="006F35AC">
                      <w:pPr>
                        <w:spacing w:line="216" w:lineRule="auto"/>
                        <w:ind w:left="142"/>
                        <w:rPr>
                          <w:rFonts w:ascii="PT Sans" w:hAnsi="PT Sans"/>
                        </w:rPr>
                      </w:pPr>
                    </w:p>
                    <w:p w14:paraId="09E8378C" w14:textId="77777777" w:rsidR="006F35AC" w:rsidRPr="00367798" w:rsidRDefault="006F35AC" w:rsidP="006F35AC">
                      <w:pPr>
                        <w:tabs>
                          <w:tab w:val="right" w:pos="9072"/>
                        </w:tabs>
                        <w:rPr>
                          <w:rFonts w:ascii="PT Sans" w:hAnsi="PT Sans"/>
                          <w:color w:val="FFFFFF" w:themeColor="background1"/>
                          <w:sz w:val="28"/>
                          <w:szCs w:val="32"/>
                        </w:rPr>
                      </w:pPr>
                    </w:p>
                    <w:p w14:paraId="2CA7A836" w14:textId="77777777" w:rsidR="006F35AC" w:rsidRDefault="006F35AC" w:rsidP="006F35AC">
                      <w:pPr>
                        <w:spacing w:line="216" w:lineRule="auto"/>
                        <w:ind w:left="142"/>
                        <w:rPr>
                          <w:rFonts w:ascii="PT Sans" w:hAnsi="PT Sans"/>
                          <w:b/>
                          <w:color w:val="FFFFFF" w:themeColor="background1"/>
                          <w:sz w:val="50"/>
                        </w:rPr>
                      </w:pPr>
                    </w:p>
                    <w:p w14:paraId="36ECFBDB" w14:textId="77777777" w:rsidR="006F35AC" w:rsidRPr="00AD50FD" w:rsidRDefault="006F35AC" w:rsidP="006F35AC">
                      <w:pPr>
                        <w:spacing w:line="216" w:lineRule="auto"/>
                        <w:ind w:left="142"/>
                        <w:rPr>
                          <w:szCs w:val="36"/>
                        </w:rPr>
                      </w:pPr>
                      <w:r w:rsidRPr="000B6225">
                        <w:rPr>
                          <w:rFonts w:ascii="PT Sans" w:hAnsi="PT Sans"/>
                          <w:i/>
                          <w:color w:val="FFFFFF" w:themeColor="background1"/>
                          <w:sz w:val="40"/>
                        </w:rPr>
                        <w:t xml:space="preserve"> </w:t>
                      </w:r>
                    </w:p>
                  </w:txbxContent>
                </v:textbox>
                <w10:wrap type="square" anchorx="margin" anchory="margin"/>
                <w10:anchorlock/>
              </v:shape>
            </w:pict>
          </mc:Fallback>
        </mc:AlternateContent>
      </w:r>
      <w:r w:rsidR="00CA092C" w:rsidRPr="00063820">
        <w:rPr>
          <w:noProof/>
          <w:lang w:eastAsia="en-GB"/>
        </w:rPr>
        <w:drawing>
          <wp:anchor distT="0" distB="0" distL="114300" distR="114300" simplePos="0" relativeHeight="251658240" behindDoc="1" locked="0" layoutInCell="1" allowOverlap="1" wp14:anchorId="7AD40EAD" wp14:editId="3443FE41">
            <wp:simplePos x="0" y="0"/>
            <wp:positionH relativeFrom="page">
              <wp:align>left</wp:align>
            </wp:positionH>
            <wp:positionV relativeFrom="page">
              <wp:align>top</wp:align>
            </wp:positionV>
            <wp:extent cx="7772400" cy="10744200"/>
            <wp:effectExtent l="0" t="0" r="0" b="0"/>
            <wp:wrapNone/>
            <wp:docPr id="13" name="Picture 13" descr="Penington_Report covers_b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nington_Report covers_base.png"/>
                    <pic:cNvPicPr/>
                  </pic:nvPicPr>
                  <pic:blipFill>
                    <a:blip r:embed="rId11" cstate="print"/>
                    <a:stretch>
                      <a:fillRect/>
                    </a:stretch>
                  </pic:blipFill>
                  <pic:spPr>
                    <a:xfrm>
                      <a:off x="0" y="0"/>
                      <a:ext cx="7772400" cy="10744200"/>
                    </a:xfrm>
                    <a:prstGeom prst="rect">
                      <a:avLst/>
                    </a:prstGeom>
                  </pic:spPr>
                </pic:pic>
              </a:graphicData>
            </a:graphic>
            <wp14:sizeRelH relativeFrom="margin">
              <wp14:pctWidth>0</wp14:pctWidth>
            </wp14:sizeRelH>
          </wp:anchor>
        </w:drawing>
      </w:r>
      <w:r w:rsidR="575362C5">
        <w:t xml:space="preserve"> </w:t>
      </w:r>
      <w:r w:rsidR="00CA092C">
        <w:br w:type="page"/>
      </w:r>
    </w:p>
    <w:p w14:paraId="39FC6D9D" w14:textId="4FC5660C" w:rsidR="00CA092C" w:rsidRPr="00A75B8D" w:rsidRDefault="00CA092C" w:rsidP="42E27DA9">
      <w:pPr>
        <w:spacing w:line="240" w:lineRule="auto"/>
      </w:pPr>
    </w:p>
    <w:p w14:paraId="588A24E8" w14:textId="77777777" w:rsidR="005E23F4" w:rsidRDefault="005E23F4" w:rsidP="00CA092C">
      <w:pPr>
        <w:spacing w:line="240" w:lineRule="auto"/>
        <w:rPr>
          <w:rFonts w:ascii="Calibri" w:hAnsi="Calibri" w:cs="Calibri"/>
          <w:szCs w:val="22"/>
        </w:rPr>
      </w:pPr>
    </w:p>
    <w:p w14:paraId="48F96677" w14:textId="77777777" w:rsidR="00A33B43" w:rsidRDefault="00A33B43" w:rsidP="007756EE">
      <w:pPr>
        <w:pStyle w:val="Heading1"/>
      </w:pPr>
    </w:p>
    <w:p w14:paraId="6963665D" w14:textId="78D465C6" w:rsidR="005E23F4" w:rsidRDefault="007756EE" w:rsidP="007756EE">
      <w:pPr>
        <w:pStyle w:val="Heading1"/>
      </w:pPr>
      <w:r>
        <w:t>About Penington Institute</w:t>
      </w:r>
    </w:p>
    <w:p w14:paraId="588B465E" w14:textId="77777777" w:rsidR="007756EE" w:rsidRPr="007756EE" w:rsidRDefault="007756EE" w:rsidP="007756EE"/>
    <w:p w14:paraId="12387AC2" w14:textId="38B2CB3A" w:rsidR="005E23F4" w:rsidRDefault="005E23F4" w:rsidP="005E23F4">
      <w:pPr>
        <w:rPr>
          <w:rFonts w:ascii="Calibri" w:hAnsi="Calibri" w:cs="Calibri"/>
        </w:rPr>
      </w:pPr>
      <w:r w:rsidRPr="00A75B8D">
        <w:rPr>
          <w:rFonts w:ascii="Calibri" w:hAnsi="Calibri" w:cs="Calibri"/>
        </w:rPr>
        <w:t xml:space="preserve">Frank, fiercely independent and non-partisan, Penington Institute is a drug policy and education non-profit committed to freedom from serious drug harms. Our mission is to help people and institutions, regardless of their status or beliefs, to </w:t>
      </w:r>
      <w:proofErr w:type="spellStart"/>
      <w:r w:rsidRPr="00A75B8D">
        <w:rPr>
          <w:rFonts w:ascii="Calibri" w:hAnsi="Calibri" w:cs="Calibri"/>
        </w:rPr>
        <w:t>minimise</w:t>
      </w:r>
      <w:proofErr w:type="spellEnd"/>
      <w:r w:rsidRPr="00A75B8D">
        <w:rPr>
          <w:rFonts w:ascii="Calibri" w:hAnsi="Calibri" w:cs="Calibri"/>
        </w:rPr>
        <w:t xml:space="preserve"> serious harms from legal and illicit drugs.  </w:t>
      </w:r>
    </w:p>
    <w:p w14:paraId="1A9D4567" w14:textId="77777777" w:rsidR="005E23F4" w:rsidRDefault="005E23F4" w:rsidP="005E23F4">
      <w:pPr>
        <w:rPr>
          <w:rFonts w:ascii="Calibri" w:hAnsi="Calibri" w:cs="Calibri"/>
        </w:rPr>
      </w:pPr>
    </w:p>
    <w:p w14:paraId="5BE09980" w14:textId="77777777" w:rsidR="005E23F4" w:rsidRPr="005E23F4" w:rsidRDefault="005E23F4" w:rsidP="005E23F4">
      <w:pPr>
        <w:rPr>
          <w:rFonts w:ascii="Calibri" w:hAnsi="Calibri" w:cs="Calibri"/>
        </w:rPr>
      </w:pPr>
    </w:p>
    <w:p w14:paraId="0BE5904C" w14:textId="77777777" w:rsidR="00A33B43" w:rsidRDefault="00A33B43" w:rsidP="00CA092C">
      <w:pPr>
        <w:pStyle w:val="paragraph"/>
        <w:spacing w:before="0" w:beforeAutospacing="0" w:after="0" w:afterAutospacing="0"/>
        <w:textAlignment w:val="baseline"/>
        <w:rPr>
          <w:rStyle w:val="normaltextrun"/>
          <w:rFonts w:ascii="Calibri" w:eastAsiaTheme="majorEastAsia" w:hAnsi="Calibri" w:cs="Calibri"/>
          <w:b/>
          <w:szCs w:val="22"/>
        </w:rPr>
      </w:pPr>
    </w:p>
    <w:p w14:paraId="2405FA1A" w14:textId="77777777" w:rsidR="00CA092C" w:rsidRPr="005E23F4" w:rsidRDefault="00CA092C" w:rsidP="00CA092C">
      <w:pPr>
        <w:pStyle w:val="paragraph"/>
        <w:spacing w:before="0" w:beforeAutospacing="0" w:after="0" w:afterAutospacing="0"/>
        <w:textAlignment w:val="baseline"/>
        <w:rPr>
          <w:rFonts w:ascii="Calibri" w:hAnsi="Calibri" w:cs="Calibri"/>
          <w:b/>
          <w:szCs w:val="22"/>
        </w:rPr>
      </w:pPr>
      <w:r w:rsidRPr="005E23F4">
        <w:rPr>
          <w:rStyle w:val="normaltextrun"/>
          <w:rFonts w:ascii="Calibri" w:eastAsiaTheme="majorEastAsia" w:hAnsi="Calibri" w:cs="Calibri"/>
          <w:b/>
          <w:szCs w:val="22"/>
        </w:rPr>
        <w:t>For more information, contact:</w:t>
      </w:r>
      <w:r w:rsidRPr="005E23F4">
        <w:rPr>
          <w:rStyle w:val="eop"/>
          <w:rFonts w:ascii="Calibri" w:eastAsiaTheme="majorEastAsia" w:hAnsi="Calibri" w:cs="Calibri"/>
          <w:b/>
          <w:szCs w:val="22"/>
        </w:rPr>
        <w:t> </w:t>
      </w:r>
    </w:p>
    <w:p w14:paraId="145877A9" w14:textId="77777777" w:rsidR="00CA092C" w:rsidRPr="00A75B8D" w:rsidRDefault="00CA092C" w:rsidP="00CA092C">
      <w:pPr>
        <w:pStyle w:val="paragraph"/>
        <w:spacing w:before="0" w:beforeAutospacing="0" w:after="0" w:afterAutospacing="0"/>
        <w:textAlignment w:val="baseline"/>
        <w:rPr>
          <w:rFonts w:ascii="Calibri" w:hAnsi="Calibri" w:cs="Calibri"/>
          <w:color w:val="808080" w:themeColor="background1" w:themeShade="80"/>
          <w:sz w:val="20"/>
          <w:szCs w:val="20"/>
        </w:rPr>
      </w:pPr>
      <w:r w:rsidRPr="00A75B8D">
        <w:rPr>
          <w:rStyle w:val="normaltextrun"/>
          <w:rFonts w:ascii="Calibri" w:eastAsiaTheme="majorEastAsia" w:hAnsi="Calibri" w:cs="Calibri"/>
          <w:color w:val="808080" w:themeColor="background1" w:themeShade="80"/>
          <w:sz w:val="20"/>
          <w:szCs w:val="20"/>
        </w:rPr>
        <w:t>Penington Institute</w:t>
      </w:r>
      <w:r w:rsidRPr="00A75B8D">
        <w:rPr>
          <w:rStyle w:val="eop"/>
          <w:rFonts w:ascii="Calibri" w:eastAsiaTheme="majorEastAsia" w:hAnsi="Calibri" w:cs="Calibri"/>
          <w:color w:val="808080" w:themeColor="background1" w:themeShade="80"/>
        </w:rPr>
        <w:t> </w:t>
      </w:r>
    </w:p>
    <w:p w14:paraId="20F35B6C" w14:textId="77777777" w:rsidR="00CA092C" w:rsidRPr="00A75B8D" w:rsidRDefault="00CA092C" w:rsidP="00CA092C">
      <w:pPr>
        <w:pStyle w:val="paragraph"/>
        <w:spacing w:before="0" w:beforeAutospacing="0" w:after="0" w:afterAutospacing="0"/>
        <w:textAlignment w:val="baseline"/>
        <w:rPr>
          <w:rFonts w:ascii="Calibri" w:hAnsi="Calibri" w:cs="Calibri"/>
          <w:color w:val="808080" w:themeColor="background1" w:themeShade="80"/>
          <w:sz w:val="20"/>
          <w:szCs w:val="20"/>
        </w:rPr>
      </w:pPr>
      <w:r w:rsidRPr="00A75B8D">
        <w:rPr>
          <w:rStyle w:val="normaltextrun"/>
          <w:rFonts w:ascii="Calibri" w:eastAsiaTheme="majorEastAsia" w:hAnsi="Calibri" w:cs="Calibri"/>
          <w:color w:val="808080" w:themeColor="background1" w:themeShade="80"/>
          <w:sz w:val="20"/>
          <w:szCs w:val="20"/>
        </w:rPr>
        <w:t>PO Box 722</w:t>
      </w:r>
      <w:r w:rsidRPr="00A75B8D">
        <w:rPr>
          <w:rStyle w:val="eop"/>
          <w:rFonts w:ascii="Calibri" w:eastAsiaTheme="majorEastAsia" w:hAnsi="Calibri" w:cs="Calibri"/>
          <w:color w:val="808080" w:themeColor="background1" w:themeShade="80"/>
        </w:rPr>
        <w:t> </w:t>
      </w:r>
    </w:p>
    <w:p w14:paraId="33070D96" w14:textId="77777777" w:rsidR="00CA092C" w:rsidRPr="00A75B8D" w:rsidRDefault="00CA092C" w:rsidP="00CA092C">
      <w:pPr>
        <w:pStyle w:val="paragraph"/>
        <w:spacing w:before="0" w:beforeAutospacing="0" w:after="0" w:afterAutospacing="0"/>
        <w:textAlignment w:val="baseline"/>
        <w:rPr>
          <w:rFonts w:ascii="Calibri" w:hAnsi="Calibri" w:cs="Calibri"/>
          <w:color w:val="808080" w:themeColor="background1" w:themeShade="80"/>
          <w:sz w:val="20"/>
          <w:szCs w:val="20"/>
        </w:rPr>
      </w:pPr>
      <w:r w:rsidRPr="00A75B8D">
        <w:rPr>
          <w:rStyle w:val="normaltextrun"/>
          <w:rFonts w:ascii="Calibri" w:eastAsiaTheme="majorEastAsia" w:hAnsi="Calibri" w:cs="Calibri"/>
          <w:color w:val="808080" w:themeColor="background1" w:themeShade="80"/>
          <w:sz w:val="20"/>
          <w:szCs w:val="20"/>
        </w:rPr>
        <w:t>Carlton South Vic 3053</w:t>
      </w:r>
    </w:p>
    <w:p w14:paraId="30A0F4AE" w14:textId="77777777" w:rsidR="00CA092C" w:rsidRPr="00A75B8D" w:rsidRDefault="00CA092C" w:rsidP="00CA092C">
      <w:pPr>
        <w:pStyle w:val="paragraph"/>
        <w:spacing w:before="0" w:beforeAutospacing="0" w:after="0" w:afterAutospacing="0"/>
        <w:textAlignment w:val="baseline"/>
        <w:rPr>
          <w:rFonts w:ascii="Calibri" w:hAnsi="Calibri" w:cs="Calibri"/>
          <w:color w:val="808080" w:themeColor="background1" w:themeShade="80"/>
          <w:sz w:val="20"/>
          <w:szCs w:val="20"/>
        </w:rPr>
      </w:pPr>
      <w:r w:rsidRPr="00A75B8D">
        <w:rPr>
          <w:rStyle w:val="eop"/>
          <w:rFonts w:ascii="Calibri" w:eastAsiaTheme="majorEastAsia" w:hAnsi="Calibri" w:cs="Calibri"/>
          <w:color w:val="808080" w:themeColor="background1" w:themeShade="80"/>
        </w:rPr>
        <w:t> </w:t>
      </w:r>
    </w:p>
    <w:p w14:paraId="29D7921A" w14:textId="77777777" w:rsidR="00CA092C" w:rsidRPr="00A75B8D" w:rsidRDefault="00CA092C" w:rsidP="00CA092C">
      <w:pPr>
        <w:pStyle w:val="paragraph"/>
        <w:spacing w:before="0" w:beforeAutospacing="0" w:after="0" w:afterAutospacing="0"/>
        <w:textAlignment w:val="baseline"/>
        <w:rPr>
          <w:rFonts w:ascii="Calibri" w:hAnsi="Calibri" w:cs="Calibri"/>
          <w:color w:val="808080" w:themeColor="background1" w:themeShade="80"/>
          <w:sz w:val="20"/>
          <w:szCs w:val="20"/>
          <w:lang w:val="fr-FR"/>
        </w:rPr>
      </w:pPr>
      <w:r w:rsidRPr="00A75B8D">
        <w:rPr>
          <w:rStyle w:val="normaltextrun"/>
          <w:rFonts w:ascii="Calibri" w:eastAsiaTheme="majorEastAsia" w:hAnsi="Calibri" w:cs="Calibri"/>
          <w:color w:val="808080" w:themeColor="background1" w:themeShade="80"/>
          <w:sz w:val="20"/>
          <w:szCs w:val="20"/>
          <w:lang w:val="fr-FR"/>
        </w:rPr>
        <w:t>T: 61 3 9650 0699</w:t>
      </w:r>
      <w:r w:rsidRPr="00A75B8D">
        <w:rPr>
          <w:rStyle w:val="eop"/>
          <w:rFonts w:ascii="Calibri" w:eastAsiaTheme="majorEastAsia" w:hAnsi="Calibri" w:cs="Calibri"/>
          <w:color w:val="808080" w:themeColor="background1" w:themeShade="80"/>
          <w:lang w:val="fr-FR"/>
        </w:rPr>
        <w:t> </w:t>
      </w:r>
    </w:p>
    <w:p w14:paraId="4E0CAF95" w14:textId="367CA663" w:rsidR="00CA092C" w:rsidRDefault="005E23F4" w:rsidP="00CA092C">
      <w:pPr>
        <w:pStyle w:val="paragraph"/>
        <w:spacing w:before="0" w:beforeAutospacing="0" w:after="0" w:afterAutospacing="0"/>
        <w:textAlignment w:val="baseline"/>
        <w:rPr>
          <w:rStyle w:val="eop"/>
          <w:rFonts w:ascii="Calibri" w:eastAsiaTheme="majorEastAsia" w:hAnsi="Calibri" w:cs="Calibri"/>
          <w:color w:val="808080" w:themeColor="background1" w:themeShade="80"/>
          <w:lang w:val="fr-FR"/>
        </w:rPr>
      </w:pPr>
      <w:hyperlink r:id="rId12" w:history="1">
        <w:r w:rsidRPr="00DF739E">
          <w:rPr>
            <w:rStyle w:val="Hyperlink"/>
            <w:rFonts w:ascii="Calibri" w:eastAsiaTheme="majorEastAsia" w:hAnsi="Calibri" w:cs="Calibri"/>
            <w:sz w:val="20"/>
            <w:szCs w:val="20"/>
            <w:lang w:val="fr-FR"/>
          </w:rPr>
          <w:t>www.penington.org.au</w:t>
        </w:r>
      </w:hyperlink>
      <w:r w:rsidR="00CA092C" w:rsidRPr="00A75B8D">
        <w:rPr>
          <w:rStyle w:val="eop"/>
          <w:rFonts w:ascii="Calibri" w:eastAsiaTheme="majorEastAsia" w:hAnsi="Calibri" w:cs="Calibri"/>
          <w:color w:val="808080" w:themeColor="background1" w:themeShade="80"/>
          <w:lang w:val="fr-FR"/>
        </w:rPr>
        <w:t> </w:t>
      </w:r>
    </w:p>
    <w:p w14:paraId="2BEEC5B1" w14:textId="77777777" w:rsidR="005E23F4" w:rsidRDefault="005E23F4" w:rsidP="00CA092C">
      <w:pPr>
        <w:pStyle w:val="paragraph"/>
        <w:spacing w:before="0" w:beforeAutospacing="0" w:after="0" w:afterAutospacing="0"/>
        <w:textAlignment w:val="baseline"/>
        <w:rPr>
          <w:rStyle w:val="eop"/>
          <w:rFonts w:ascii="Calibri" w:eastAsiaTheme="majorEastAsia" w:hAnsi="Calibri" w:cs="Calibri"/>
          <w:color w:val="808080" w:themeColor="background1" w:themeShade="80"/>
          <w:lang w:val="fr-FR"/>
        </w:rPr>
      </w:pPr>
    </w:p>
    <w:p w14:paraId="0383653E" w14:textId="77777777" w:rsidR="005E23F4" w:rsidRDefault="005E23F4" w:rsidP="00CA092C">
      <w:pPr>
        <w:pStyle w:val="paragraph"/>
        <w:spacing w:before="0" w:beforeAutospacing="0" w:after="0" w:afterAutospacing="0"/>
        <w:textAlignment w:val="baseline"/>
        <w:rPr>
          <w:rStyle w:val="eop"/>
          <w:rFonts w:ascii="Calibri" w:eastAsiaTheme="majorEastAsia" w:hAnsi="Calibri" w:cs="Calibri"/>
          <w:color w:val="808080" w:themeColor="background1" w:themeShade="80"/>
          <w:lang w:val="fr-FR"/>
        </w:rPr>
      </w:pPr>
    </w:p>
    <w:p w14:paraId="52545D5F" w14:textId="77777777" w:rsidR="005E23F4" w:rsidRDefault="005E23F4" w:rsidP="00CA092C">
      <w:pPr>
        <w:pStyle w:val="paragraph"/>
        <w:spacing w:before="0" w:beforeAutospacing="0" w:after="0" w:afterAutospacing="0"/>
        <w:textAlignment w:val="baseline"/>
        <w:rPr>
          <w:rStyle w:val="eop"/>
          <w:rFonts w:ascii="Calibri" w:eastAsiaTheme="majorEastAsia" w:hAnsi="Calibri" w:cs="Calibri"/>
          <w:color w:val="808080" w:themeColor="background1" w:themeShade="80"/>
          <w:lang w:val="fr-FR"/>
        </w:rPr>
      </w:pPr>
    </w:p>
    <w:p w14:paraId="4C03CFDF" w14:textId="77777777" w:rsidR="005E23F4" w:rsidRDefault="005E23F4" w:rsidP="00CA092C">
      <w:pPr>
        <w:pStyle w:val="paragraph"/>
        <w:spacing w:before="0" w:beforeAutospacing="0" w:after="0" w:afterAutospacing="0"/>
        <w:textAlignment w:val="baseline"/>
        <w:rPr>
          <w:rStyle w:val="eop"/>
          <w:rFonts w:ascii="Calibri" w:eastAsiaTheme="majorEastAsia" w:hAnsi="Calibri" w:cs="Calibri"/>
          <w:color w:val="808080" w:themeColor="background1" w:themeShade="80"/>
          <w:lang w:val="fr-FR"/>
        </w:rPr>
      </w:pPr>
    </w:p>
    <w:p w14:paraId="49D90CE0" w14:textId="77777777" w:rsidR="005E23F4" w:rsidRDefault="005E23F4" w:rsidP="00CA092C">
      <w:pPr>
        <w:pStyle w:val="paragraph"/>
        <w:spacing w:before="0" w:beforeAutospacing="0" w:after="0" w:afterAutospacing="0"/>
        <w:textAlignment w:val="baseline"/>
        <w:rPr>
          <w:rStyle w:val="eop"/>
          <w:rFonts w:ascii="Calibri" w:eastAsiaTheme="majorEastAsia" w:hAnsi="Calibri" w:cs="Calibri"/>
          <w:color w:val="808080" w:themeColor="background1" w:themeShade="80"/>
          <w:lang w:val="fr-FR"/>
        </w:rPr>
      </w:pPr>
    </w:p>
    <w:p w14:paraId="0B488419" w14:textId="77777777" w:rsidR="005E23F4" w:rsidRDefault="005E23F4" w:rsidP="00CA092C">
      <w:pPr>
        <w:pStyle w:val="paragraph"/>
        <w:spacing w:before="0" w:beforeAutospacing="0" w:after="0" w:afterAutospacing="0"/>
        <w:textAlignment w:val="baseline"/>
        <w:rPr>
          <w:rStyle w:val="eop"/>
          <w:rFonts w:ascii="Calibri" w:eastAsiaTheme="majorEastAsia" w:hAnsi="Calibri" w:cs="Calibri"/>
          <w:color w:val="808080" w:themeColor="background1" w:themeShade="80"/>
          <w:lang w:val="fr-FR"/>
        </w:rPr>
      </w:pPr>
    </w:p>
    <w:p w14:paraId="417138DF" w14:textId="77777777" w:rsidR="005E23F4" w:rsidRDefault="005E23F4" w:rsidP="00CA092C">
      <w:pPr>
        <w:pStyle w:val="paragraph"/>
        <w:spacing w:before="0" w:beforeAutospacing="0" w:after="0" w:afterAutospacing="0"/>
        <w:textAlignment w:val="baseline"/>
        <w:rPr>
          <w:rStyle w:val="eop"/>
          <w:rFonts w:ascii="Calibri" w:eastAsiaTheme="majorEastAsia" w:hAnsi="Calibri" w:cs="Calibri"/>
          <w:color w:val="808080" w:themeColor="background1" w:themeShade="80"/>
          <w:lang w:val="fr-FR"/>
        </w:rPr>
      </w:pPr>
    </w:p>
    <w:p w14:paraId="1B3F92A0" w14:textId="77777777" w:rsidR="005E23F4" w:rsidRDefault="005E23F4" w:rsidP="00CA092C">
      <w:pPr>
        <w:pStyle w:val="paragraph"/>
        <w:spacing w:before="0" w:beforeAutospacing="0" w:after="0" w:afterAutospacing="0"/>
        <w:textAlignment w:val="baseline"/>
        <w:rPr>
          <w:rStyle w:val="eop"/>
          <w:rFonts w:ascii="Calibri" w:eastAsiaTheme="majorEastAsia" w:hAnsi="Calibri" w:cs="Calibri"/>
          <w:color w:val="808080" w:themeColor="background1" w:themeShade="80"/>
          <w:lang w:val="fr-FR"/>
        </w:rPr>
      </w:pPr>
    </w:p>
    <w:p w14:paraId="2DC97EBC" w14:textId="77777777" w:rsidR="005E23F4" w:rsidRDefault="005E23F4" w:rsidP="00CA092C">
      <w:pPr>
        <w:pStyle w:val="paragraph"/>
        <w:spacing w:before="0" w:beforeAutospacing="0" w:after="0" w:afterAutospacing="0"/>
        <w:textAlignment w:val="baseline"/>
        <w:rPr>
          <w:rStyle w:val="eop"/>
          <w:rFonts w:ascii="Calibri" w:eastAsiaTheme="majorEastAsia" w:hAnsi="Calibri" w:cs="Calibri"/>
          <w:color w:val="808080" w:themeColor="background1" w:themeShade="80"/>
          <w:lang w:val="fr-FR"/>
        </w:rPr>
      </w:pPr>
    </w:p>
    <w:p w14:paraId="2986181F" w14:textId="77777777" w:rsidR="005E23F4" w:rsidRDefault="005E23F4" w:rsidP="00CA092C">
      <w:pPr>
        <w:pStyle w:val="paragraph"/>
        <w:spacing w:before="0" w:beforeAutospacing="0" w:after="0" w:afterAutospacing="0"/>
        <w:textAlignment w:val="baseline"/>
        <w:rPr>
          <w:rStyle w:val="eop"/>
          <w:rFonts w:ascii="Calibri" w:eastAsiaTheme="majorEastAsia" w:hAnsi="Calibri" w:cs="Calibri"/>
          <w:color w:val="808080" w:themeColor="background1" w:themeShade="80"/>
          <w:lang w:val="fr-FR"/>
        </w:rPr>
      </w:pPr>
    </w:p>
    <w:p w14:paraId="25F24D04" w14:textId="77777777" w:rsidR="00A33B43" w:rsidRDefault="00A33B43" w:rsidP="00CA092C">
      <w:pPr>
        <w:pStyle w:val="paragraph"/>
        <w:spacing w:before="0" w:beforeAutospacing="0" w:after="0" w:afterAutospacing="0"/>
        <w:textAlignment w:val="baseline"/>
        <w:rPr>
          <w:rStyle w:val="eop"/>
          <w:rFonts w:ascii="Calibri" w:eastAsiaTheme="majorEastAsia" w:hAnsi="Calibri" w:cs="Calibri"/>
          <w:color w:val="808080" w:themeColor="background1" w:themeShade="80"/>
          <w:lang w:val="fr-FR"/>
        </w:rPr>
      </w:pPr>
    </w:p>
    <w:p w14:paraId="57B8D38D" w14:textId="30180189" w:rsidR="00CA092C" w:rsidRPr="00A75B8D" w:rsidRDefault="00CA092C" w:rsidP="00CA092C">
      <w:pPr>
        <w:pStyle w:val="paragraph"/>
        <w:spacing w:before="0" w:beforeAutospacing="0" w:after="0" w:afterAutospacing="0"/>
        <w:textAlignment w:val="baseline"/>
        <w:rPr>
          <w:rFonts w:ascii="Calibri" w:hAnsi="Calibri" w:cs="Calibri"/>
          <w:szCs w:val="22"/>
          <w:lang w:val="fr-FR"/>
        </w:rPr>
      </w:pPr>
    </w:p>
    <w:p w14:paraId="68989BB1" w14:textId="77777777" w:rsidR="00CA092C" w:rsidRPr="00A75B8D" w:rsidRDefault="00CA092C" w:rsidP="00CA092C">
      <w:pPr>
        <w:pStyle w:val="paragraph"/>
        <w:spacing w:before="0" w:beforeAutospacing="0" w:after="0" w:afterAutospacing="0"/>
        <w:textAlignment w:val="baseline"/>
        <w:rPr>
          <w:rFonts w:ascii="Calibri" w:hAnsi="Calibri" w:cs="Calibri"/>
          <w:szCs w:val="22"/>
        </w:rPr>
      </w:pPr>
      <w:r w:rsidRPr="00A75B8D">
        <w:rPr>
          <w:rStyle w:val="normaltextrun"/>
          <w:rFonts w:ascii="Calibri" w:eastAsiaTheme="majorEastAsia" w:hAnsi="Calibri" w:cs="Calibri"/>
          <w:szCs w:val="22"/>
        </w:rPr>
        <w:t>Copyright © Penington Institute </w:t>
      </w:r>
      <w:r w:rsidRPr="00A75B8D">
        <w:rPr>
          <w:rStyle w:val="eop"/>
          <w:rFonts w:ascii="Calibri" w:eastAsiaTheme="majorEastAsia" w:hAnsi="Calibri" w:cs="Calibri"/>
          <w:szCs w:val="22"/>
        </w:rPr>
        <w:t> </w:t>
      </w:r>
    </w:p>
    <w:p w14:paraId="4199BC7A" w14:textId="77777777" w:rsidR="00CA092C" w:rsidRPr="00A75B8D" w:rsidRDefault="00CA092C" w:rsidP="00CA092C">
      <w:pPr>
        <w:pStyle w:val="paragraph"/>
        <w:spacing w:before="0" w:beforeAutospacing="0" w:after="0" w:afterAutospacing="0"/>
        <w:textAlignment w:val="baseline"/>
        <w:rPr>
          <w:rFonts w:ascii="Calibri" w:hAnsi="Calibri" w:cs="Calibri"/>
          <w:szCs w:val="22"/>
        </w:rPr>
      </w:pPr>
      <w:r w:rsidRPr="00A75B8D">
        <w:rPr>
          <w:rStyle w:val="eop"/>
          <w:rFonts w:ascii="Calibri" w:eastAsiaTheme="majorEastAsia" w:hAnsi="Calibri" w:cs="Calibri"/>
          <w:szCs w:val="22"/>
        </w:rPr>
        <w:t> </w:t>
      </w:r>
    </w:p>
    <w:p w14:paraId="745CDE46" w14:textId="7B6D3B16" w:rsidR="00453571" w:rsidRPr="005E23F4" w:rsidRDefault="00CA092C" w:rsidP="005E23F4">
      <w:pPr>
        <w:pStyle w:val="paragraph"/>
        <w:spacing w:before="0" w:beforeAutospacing="0" w:after="0" w:afterAutospacing="0"/>
        <w:textAlignment w:val="baseline"/>
        <w:rPr>
          <w:rFonts w:ascii="Calibri" w:eastAsiaTheme="majorEastAsia" w:hAnsi="Calibri" w:cs="Calibri"/>
          <w:color w:val="000000" w:themeColor="text1"/>
        </w:rPr>
      </w:pPr>
      <w:r w:rsidRPr="00A75B8D">
        <w:rPr>
          <w:rStyle w:val="normaltextrun"/>
          <w:rFonts w:ascii="Calibri" w:eastAsiaTheme="majorEastAsia" w:hAnsi="Calibri" w:cs="Calibri"/>
          <w:color w:val="000000" w:themeColor="text1"/>
        </w:rPr>
        <w:t>Every effort has been made to present all information accurately, but any mistakes are ours. Penington Institute accepts no liability for and does not indemnify against any loss or damage that may result from any actions taken based on the information contained in this report.</w:t>
      </w:r>
      <w:r w:rsidRPr="00A75B8D">
        <w:rPr>
          <w:rStyle w:val="eop"/>
          <w:rFonts w:ascii="Calibri" w:eastAsiaTheme="majorEastAsia" w:hAnsi="Calibri" w:cs="Calibri"/>
          <w:color w:val="000000" w:themeColor="text1"/>
        </w:rPr>
        <w:t> </w:t>
      </w:r>
      <w:r w:rsidRPr="00A75B8D">
        <w:rPr>
          <w:rStyle w:val="normaltextrun"/>
          <w:rFonts w:ascii="Calibri" w:eastAsiaTheme="majorEastAsia" w:hAnsi="Calibri" w:cs="Calibri"/>
          <w:color w:val="000000" w:themeColor="text1"/>
        </w:rPr>
        <w:t>This report may contain references to suicide, self-harm behaviours, mental health disorders, overdose and family violence, which may be distressing to some readers.</w:t>
      </w:r>
      <w:r w:rsidRPr="00A75B8D">
        <w:rPr>
          <w:rStyle w:val="eop"/>
          <w:rFonts w:ascii="Calibri" w:eastAsiaTheme="majorEastAsia" w:hAnsi="Calibri" w:cs="Calibri"/>
          <w:color w:val="000000" w:themeColor="text1"/>
        </w:rPr>
        <w:t> </w:t>
      </w:r>
    </w:p>
    <w:p w14:paraId="566092CB" w14:textId="22DCC34B" w:rsidR="00F91211" w:rsidRPr="00A75B8D" w:rsidRDefault="00F91211" w:rsidP="00A33B43">
      <w:pPr>
        <w:pStyle w:val="Heading2"/>
        <w:tabs>
          <w:tab w:val="center" w:pos="4680"/>
        </w:tabs>
        <w:rPr>
          <w:rFonts w:ascii="Calibri" w:hAnsi="Calibri" w:cs="Calibri"/>
        </w:rPr>
      </w:pPr>
      <w:r w:rsidRPr="00A75B8D">
        <w:rPr>
          <w:rFonts w:ascii="Calibri" w:hAnsi="Calibri" w:cs="Calibri"/>
        </w:rPr>
        <w:lastRenderedPageBreak/>
        <w:t>Introduction</w:t>
      </w:r>
      <w:r w:rsidR="00A33B43">
        <w:rPr>
          <w:rFonts w:ascii="Calibri" w:hAnsi="Calibri" w:cs="Calibri"/>
        </w:rPr>
        <w:tab/>
      </w:r>
    </w:p>
    <w:p w14:paraId="4250A65D" w14:textId="77777777" w:rsidR="00CA3526" w:rsidRPr="00A75B8D" w:rsidRDefault="00CA3526" w:rsidP="00CA3526">
      <w:pPr>
        <w:rPr>
          <w:rFonts w:ascii="Calibri" w:hAnsi="Calibri" w:cs="Calibri"/>
        </w:rPr>
      </w:pPr>
      <w:r w:rsidRPr="00A75B8D">
        <w:rPr>
          <w:rFonts w:ascii="Calibri" w:hAnsi="Calibri" w:cs="Calibri"/>
        </w:rPr>
        <w:t>Penington Institute welcomes the opportunity to provide feedback on the draft Program Logic of the Drug and Alcohol Program (DAP).</w:t>
      </w:r>
    </w:p>
    <w:p w14:paraId="2B0B1EBE" w14:textId="70659D3D" w:rsidR="00CA3526" w:rsidRPr="00A75B8D" w:rsidRDefault="00CA3526" w:rsidP="00CA3526">
      <w:pPr>
        <w:rPr>
          <w:rFonts w:ascii="Calibri" w:hAnsi="Calibri" w:cs="Calibri"/>
        </w:rPr>
      </w:pPr>
      <w:r w:rsidRPr="00A75B8D">
        <w:rPr>
          <w:rFonts w:ascii="Calibri" w:hAnsi="Calibri" w:cs="Calibri"/>
        </w:rPr>
        <w:t>Large numbers of Australians consume drugs. According to the National Drug Strategy Household Survey 2022-2023</w:t>
      </w:r>
      <w:r w:rsidR="00735B8B">
        <w:rPr>
          <w:rFonts w:ascii="Calibri" w:hAnsi="Calibri" w:cs="Calibri"/>
        </w:rPr>
        <w:t xml:space="preserve"> (NDSHS)</w:t>
      </w:r>
      <w:r w:rsidRPr="00A75B8D">
        <w:rPr>
          <w:rFonts w:ascii="Calibri" w:hAnsi="Calibri" w:cs="Calibri"/>
        </w:rPr>
        <w:t>, 10.2 million Australians aged 14 or over reported lifetime use of an illicit substance or non-medical use of pharmaceuticals.</w:t>
      </w:r>
      <w:r w:rsidR="00DD360E">
        <w:rPr>
          <w:rStyle w:val="FootnoteReference"/>
          <w:rFonts w:ascii="Calibri" w:hAnsi="Calibri" w:cs="Calibri"/>
        </w:rPr>
        <w:footnoteReference w:id="1"/>
      </w:r>
      <w:r w:rsidRPr="00A75B8D">
        <w:rPr>
          <w:rFonts w:ascii="Calibri" w:hAnsi="Calibri" w:cs="Calibri"/>
        </w:rPr>
        <w:t xml:space="preserve"> Given the vast scale of drug use, it is imperative to implement a balanced national framework that </w:t>
      </w:r>
      <w:proofErr w:type="spellStart"/>
      <w:r w:rsidRPr="00A75B8D">
        <w:rPr>
          <w:rFonts w:ascii="Calibri" w:hAnsi="Calibri" w:cs="Calibri"/>
        </w:rPr>
        <w:t>minimises</w:t>
      </w:r>
      <w:proofErr w:type="spellEnd"/>
      <w:r w:rsidRPr="00A75B8D">
        <w:rPr>
          <w:rFonts w:ascii="Calibri" w:hAnsi="Calibri" w:cs="Calibri"/>
        </w:rPr>
        <w:t xml:space="preserve"> drug harms and supports safety across the diversity of Australian people and communities.</w:t>
      </w:r>
    </w:p>
    <w:p w14:paraId="50314186" w14:textId="1B03F2CA" w:rsidR="007C5A6E" w:rsidRPr="00A75B8D" w:rsidRDefault="007C5A6E" w:rsidP="00CA3526">
      <w:pPr>
        <w:rPr>
          <w:rFonts w:ascii="Calibri" w:hAnsi="Calibri" w:cs="Calibri"/>
        </w:rPr>
      </w:pPr>
      <w:r w:rsidRPr="00A75B8D">
        <w:rPr>
          <w:rFonts w:ascii="Calibri" w:hAnsi="Calibri" w:cs="Calibri"/>
        </w:rPr>
        <w:t>The following submission will be structured into four sections</w:t>
      </w:r>
      <w:r w:rsidR="00AA74FF" w:rsidRPr="00A75B8D">
        <w:rPr>
          <w:rFonts w:ascii="Calibri" w:hAnsi="Calibri" w:cs="Calibri"/>
        </w:rPr>
        <w:t>;</w:t>
      </w:r>
    </w:p>
    <w:p w14:paraId="177818C5" w14:textId="234910E4" w:rsidR="007C5A6E" w:rsidRPr="00A75B8D" w:rsidRDefault="007C5A6E" w:rsidP="007C5A6E">
      <w:pPr>
        <w:pStyle w:val="ListParagraph"/>
        <w:numPr>
          <w:ilvl w:val="0"/>
          <w:numId w:val="8"/>
        </w:numPr>
        <w:rPr>
          <w:rFonts w:ascii="Calibri" w:hAnsi="Calibri" w:cs="Calibri"/>
        </w:rPr>
      </w:pPr>
      <w:r w:rsidRPr="00A75B8D">
        <w:rPr>
          <w:rFonts w:ascii="Calibri" w:hAnsi="Calibri" w:cs="Calibri"/>
        </w:rPr>
        <w:t xml:space="preserve">Section </w:t>
      </w:r>
      <w:r w:rsidR="00B8041F">
        <w:rPr>
          <w:rFonts w:ascii="Calibri" w:hAnsi="Calibri" w:cs="Calibri"/>
        </w:rPr>
        <w:t>1</w:t>
      </w:r>
      <w:r w:rsidRPr="00A75B8D">
        <w:rPr>
          <w:rFonts w:ascii="Calibri" w:hAnsi="Calibri" w:cs="Calibri"/>
        </w:rPr>
        <w:t xml:space="preserve"> – Program Objectives</w:t>
      </w:r>
    </w:p>
    <w:p w14:paraId="2B2D7926" w14:textId="3C0DFC87" w:rsidR="007C5A6E" w:rsidRPr="00A75B8D" w:rsidRDefault="007C5A6E" w:rsidP="007C5A6E">
      <w:pPr>
        <w:pStyle w:val="ListParagraph"/>
        <w:numPr>
          <w:ilvl w:val="0"/>
          <w:numId w:val="8"/>
        </w:numPr>
        <w:rPr>
          <w:rFonts w:ascii="Calibri" w:hAnsi="Calibri" w:cs="Calibri"/>
        </w:rPr>
      </w:pPr>
      <w:r w:rsidRPr="00A75B8D">
        <w:rPr>
          <w:rFonts w:ascii="Calibri" w:hAnsi="Calibri" w:cs="Calibri"/>
        </w:rPr>
        <w:t xml:space="preserve">Section </w:t>
      </w:r>
      <w:r w:rsidR="00B8041F">
        <w:rPr>
          <w:rFonts w:ascii="Calibri" w:hAnsi="Calibri" w:cs="Calibri"/>
        </w:rPr>
        <w:t>2</w:t>
      </w:r>
      <w:r w:rsidRPr="00A75B8D">
        <w:rPr>
          <w:rFonts w:ascii="Calibri" w:hAnsi="Calibri" w:cs="Calibri"/>
        </w:rPr>
        <w:t xml:space="preserve"> – Key Activities </w:t>
      </w:r>
    </w:p>
    <w:p w14:paraId="41108D6A" w14:textId="59C23759" w:rsidR="007C5A6E" w:rsidRPr="00A75B8D" w:rsidRDefault="007C5A6E" w:rsidP="007C5A6E">
      <w:pPr>
        <w:pStyle w:val="ListParagraph"/>
        <w:numPr>
          <w:ilvl w:val="0"/>
          <w:numId w:val="8"/>
        </w:numPr>
        <w:rPr>
          <w:rFonts w:ascii="Calibri" w:hAnsi="Calibri" w:cs="Calibri"/>
        </w:rPr>
      </w:pPr>
      <w:r w:rsidRPr="00A75B8D">
        <w:rPr>
          <w:rFonts w:ascii="Calibri" w:hAnsi="Calibri" w:cs="Calibri"/>
        </w:rPr>
        <w:t xml:space="preserve">Section </w:t>
      </w:r>
      <w:r w:rsidR="00B8041F">
        <w:rPr>
          <w:rFonts w:ascii="Calibri" w:hAnsi="Calibri" w:cs="Calibri"/>
        </w:rPr>
        <w:t>3</w:t>
      </w:r>
      <w:r w:rsidRPr="00A75B8D">
        <w:rPr>
          <w:rFonts w:ascii="Calibri" w:hAnsi="Calibri" w:cs="Calibri"/>
        </w:rPr>
        <w:t xml:space="preserve"> – Proposed Outcomes </w:t>
      </w:r>
    </w:p>
    <w:p w14:paraId="300EE058" w14:textId="3B0011F8" w:rsidR="007C5A6E" w:rsidRPr="00A75B8D" w:rsidRDefault="007C5A6E" w:rsidP="007C5A6E">
      <w:pPr>
        <w:pStyle w:val="ListParagraph"/>
        <w:numPr>
          <w:ilvl w:val="0"/>
          <w:numId w:val="8"/>
        </w:numPr>
        <w:rPr>
          <w:rFonts w:ascii="Calibri" w:hAnsi="Calibri" w:cs="Calibri"/>
        </w:rPr>
      </w:pPr>
      <w:r w:rsidRPr="00A75B8D">
        <w:rPr>
          <w:rFonts w:ascii="Calibri" w:hAnsi="Calibri" w:cs="Calibri"/>
        </w:rPr>
        <w:t xml:space="preserve">Section </w:t>
      </w:r>
      <w:r w:rsidR="00B8041F">
        <w:rPr>
          <w:rFonts w:ascii="Calibri" w:hAnsi="Calibri" w:cs="Calibri"/>
        </w:rPr>
        <w:t>4</w:t>
      </w:r>
      <w:r w:rsidRPr="00A75B8D">
        <w:rPr>
          <w:rFonts w:ascii="Calibri" w:hAnsi="Calibri" w:cs="Calibri"/>
        </w:rPr>
        <w:t xml:space="preserve"> – Key Performance Indicators </w:t>
      </w:r>
    </w:p>
    <w:p w14:paraId="6A857EAA" w14:textId="77777777" w:rsidR="00F91211" w:rsidRPr="00A75B8D" w:rsidRDefault="00F91211" w:rsidP="00CA3526">
      <w:pPr>
        <w:rPr>
          <w:rFonts w:ascii="Calibri" w:hAnsi="Calibri" w:cs="Calibri"/>
        </w:rPr>
      </w:pPr>
    </w:p>
    <w:p w14:paraId="7C8D680C" w14:textId="3C1E077C" w:rsidR="00F91211" w:rsidRPr="00A75B8D" w:rsidRDefault="00F91211" w:rsidP="00F91211">
      <w:pPr>
        <w:pStyle w:val="Heading2"/>
        <w:rPr>
          <w:rFonts w:ascii="Calibri" w:hAnsi="Calibri" w:cs="Calibri"/>
        </w:rPr>
      </w:pPr>
      <w:r w:rsidRPr="00A75B8D">
        <w:rPr>
          <w:rFonts w:ascii="Calibri" w:hAnsi="Calibri" w:cs="Calibri"/>
        </w:rPr>
        <w:t xml:space="preserve">Section </w:t>
      </w:r>
      <w:r w:rsidR="00BA64FD">
        <w:rPr>
          <w:rFonts w:ascii="Calibri" w:hAnsi="Calibri" w:cs="Calibri"/>
        </w:rPr>
        <w:t>1</w:t>
      </w:r>
      <w:r w:rsidRPr="00A75B8D">
        <w:rPr>
          <w:rFonts w:ascii="Calibri" w:hAnsi="Calibri" w:cs="Calibri"/>
        </w:rPr>
        <w:t xml:space="preserve"> – Program Objectives </w:t>
      </w:r>
    </w:p>
    <w:p w14:paraId="0F204100" w14:textId="0281C6DF" w:rsidR="001F49C5" w:rsidRPr="00A75B8D" w:rsidRDefault="001F49C5" w:rsidP="001F49C5">
      <w:pPr>
        <w:rPr>
          <w:rFonts w:ascii="Calibri" w:hAnsi="Calibri" w:cs="Calibri"/>
        </w:rPr>
      </w:pPr>
      <w:r w:rsidRPr="00A75B8D">
        <w:rPr>
          <w:rFonts w:ascii="Calibri" w:hAnsi="Calibri" w:cs="Calibri"/>
        </w:rPr>
        <w:t>The National Drug Strategy 2017-2026</w:t>
      </w:r>
      <w:r w:rsidR="00735B8B">
        <w:rPr>
          <w:rFonts w:ascii="Calibri" w:hAnsi="Calibri" w:cs="Calibri"/>
        </w:rPr>
        <w:t xml:space="preserve"> (NDS)</w:t>
      </w:r>
      <w:r w:rsidRPr="00A75B8D">
        <w:rPr>
          <w:rFonts w:ascii="Calibri" w:hAnsi="Calibri" w:cs="Calibri"/>
        </w:rPr>
        <w:t xml:space="preserve"> incorporated </w:t>
      </w:r>
      <w:r w:rsidRPr="00A75B8D">
        <w:rPr>
          <w:rFonts w:ascii="Calibri" w:hAnsi="Calibri" w:cs="Calibri"/>
          <w:i/>
        </w:rPr>
        <w:t>harm reduction</w:t>
      </w:r>
      <w:r w:rsidRPr="00A75B8D">
        <w:rPr>
          <w:rFonts w:ascii="Calibri" w:hAnsi="Calibri" w:cs="Calibri"/>
        </w:rPr>
        <w:t xml:space="preserve"> as a central pillar of harm </w:t>
      </w:r>
      <w:proofErr w:type="spellStart"/>
      <w:r w:rsidRPr="00A75B8D">
        <w:rPr>
          <w:rFonts w:ascii="Calibri" w:hAnsi="Calibri" w:cs="Calibri"/>
        </w:rPr>
        <w:t>minimisation</w:t>
      </w:r>
      <w:proofErr w:type="spellEnd"/>
      <w:r w:rsidRPr="00A75B8D">
        <w:rPr>
          <w:rFonts w:ascii="Calibri" w:hAnsi="Calibri" w:cs="Calibri"/>
        </w:rPr>
        <w:t xml:space="preserve">, alongside demand reduction and supply reduction. This reflects recognition of Australians’ complex relationship with drugs and the strong evidence base showing the effectiveness of harm reduction programs. The NDS explicitly states that harm reduction can ‘encourage safer </w:t>
      </w:r>
      <w:proofErr w:type="spellStart"/>
      <w:r w:rsidRPr="00A75B8D">
        <w:rPr>
          <w:rFonts w:ascii="Calibri" w:hAnsi="Calibri" w:cs="Calibri"/>
        </w:rPr>
        <w:t>behaviours</w:t>
      </w:r>
      <w:proofErr w:type="spellEnd"/>
      <w:r w:rsidRPr="00A75B8D">
        <w:rPr>
          <w:rFonts w:ascii="Calibri" w:hAnsi="Calibri" w:cs="Calibri"/>
        </w:rPr>
        <w:t>, reduce preventable risk factors, and can contribute to a reduction in health and social inequalities among specific population groups’.</w:t>
      </w:r>
      <w:r w:rsidR="00816EB4">
        <w:rPr>
          <w:rStyle w:val="FootnoteReference"/>
          <w:rFonts w:ascii="Calibri" w:hAnsi="Calibri" w:cs="Calibri"/>
        </w:rPr>
        <w:footnoteReference w:id="2"/>
      </w:r>
      <w:r w:rsidRPr="00A75B8D">
        <w:rPr>
          <w:rFonts w:ascii="Calibri" w:hAnsi="Calibri" w:cs="Calibri"/>
        </w:rPr>
        <w:t xml:space="preserve"> </w:t>
      </w:r>
    </w:p>
    <w:p w14:paraId="7E7C851C" w14:textId="6ACA1E9D" w:rsidR="00CA3526" w:rsidRPr="00A75B8D" w:rsidRDefault="00CA3526" w:rsidP="00CA3526">
      <w:pPr>
        <w:rPr>
          <w:rFonts w:ascii="Calibri" w:hAnsi="Calibri" w:cs="Calibri"/>
        </w:rPr>
      </w:pPr>
      <w:r w:rsidRPr="00A75B8D">
        <w:rPr>
          <w:rFonts w:ascii="Calibri" w:hAnsi="Calibri" w:cs="Calibri"/>
        </w:rPr>
        <w:t>As outlined within the KPMG/University of Queensland Evaluation Report, the DAP is one of the principal mechanisms for the Commonwealth to put the NDS into practice.</w:t>
      </w:r>
      <w:r w:rsidR="00816EB4">
        <w:rPr>
          <w:rStyle w:val="FootnoteReference"/>
          <w:rFonts w:ascii="Calibri" w:hAnsi="Calibri" w:cs="Calibri"/>
        </w:rPr>
        <w:footnoteReference w:id="3"/>
      </w:r>
      <w:r w:rsidRPr="00A75B8D">
        <w:rPr>
          <w:rFonts w:ascii="Calibri" w:hAnsi="Calibri" w:cs="Calibri"/>
        </w:rPr>
        <w:t xml:space="preserve"> To properly </w:t>
      </w:r>
      <w:proofErr w:type="spellStart"/>
      <w:r w:rsidRPr="00A75B8D">
        <w:rPr>
          <w:rFonts w:ascii="Calibri" w:hAnsi="Calibri" w:cs="Calibri"/>
        </w:rPr>
        <w:t>operationalise</w:t>
      </w:r>
      <w:proofErr w:type="spellEnd"/>
      <w:r w:rsidRPr="00A75B8D">
        <w:rPr>
          <w:rFonts w:ascii="Calibri" w:hAnsi="Calibri" w:cs="Calibri"/>
        </w:rPr>
        <w:t xml:space="preserve"> the NDS, harm reduction must be embedded as a core program objective and a guiding principle across the DAP’s service, funding and evaluation settings. </w:t>
      </w:r>
    </w:p>
    <w:p w14:paraId="0A0B74FE" w14:textId="3613A7AB" w:rsidR="00CA3526" w:rsidRPr="00A75B8D" w:rsidRDefault="00CA3526" w:rsidP="00CA3526">
      <w:pPr>
        <w:rPr>
          <w:rFonts w:ascii="Calibri" w:hAnsi="Calibri" w:cs="Calibri"/>
        </w:rPr>
      </w:pPr>
      <w:r w:rsidRPr="00A75B8D">
        <w:rPr>
          <w:rFonts w:ascii="Calibri" w:hAnsi="Calibri" w:cs="Calibri"/>
        </w:rPr>
        <w:t xml:space="preserve">The Evaluation Report highlights the clear need to strengthen harm reduction within the DAP, noting a growing evidence base and policy trend toward expanded harm reduction and prevention activity. It notes that harm reduction services account for a minuscule share of DAP </w:t>
      </w:r>
      <w:r w:rsidRPr="00A75B8D">
        <w:rPr>
          <w:rFonts w:ascii="Calibri" w:hAnsi="Calibri" w:cs="Calibri"/>
        </w:rPr>
        <w:lastRenderedPageBreak/>
        <w:t>grants compared to prevention and treatment, despite identification of harm reduction as a critical system component for engaging people who are not able, ready or wanting to enter structured treatment.</w:t>
      </w:r>
      <w:r w:rsidR="00CE5C93">
        <w:rPr>
          <w:rStyle w:val="FootnoteReference"/>
          <w:rFonts w:ascii="Calibri" w:hAnsi="Calibri" w:cs="Calibri"/>
        </w:rPr>
        <w:footnoteReference w:id="4"/>
      </w:r>
      <w:r w:rsidRPr="00A75B8D">
        <w:rPr>
          <w:rFonts w:ascii="Calibri" w:hAnsi="Calibri" w:cs="Calibri"/>
        </w:rPr>
        <w:t xml:space="preserve"> </w:t>
      </w:r>
    </w:p>
    <w:p w14:paraId="7493E473" w14:textId="77777777" w:rsidR="00CA3526" w:rsidRPr="00A75B8D" w:rsidRDefault="00CA3526" w:rsidP="00CA3526">
      <w:pPr>
        <w:rPr>
          <w:rFonts w:ascii="Calibri" w:hAnsi="Calibri" w:cs="Calibri"/>
        </w:rPr>
      </w:pPr>
      <w:r w:rsidRPr="00A75B8D">
        <w:rPr>
          <w:rFonts w:ascii="Calibri" w:hAnsi="Calibri" w:cs="Calibri"/>
        </w:rPr>
        <w:t>The Evaluation Report’s concerns remain unaddressed throughout the draft Program Logic. Harm reduction is treated as an afterthought. By significantly understating the centrality of harm reduction programs as a foundational component across the full continuum of AOD support and services, the Program Logic risks perpetuating DAP funding bias toward prevention and treatment services – despite the Evaluation Report’s explicit recommendations for balance. Specifying harm reduction as a stand</w:t>
      </w:r>
      <w:r w:rsidRPr="00A75B8D">
        <w:rPr>
          <w:rFonts w:ascii="Calibri" w:hAnsi="Calibri" w:cs="Calibri"/>
        </w:rPr>
        <w:noBreakHyphen/>
        <w:t xml:space="preserve">alone program objective would align the DAP with the NDS and address a key gap raised by stakeholders during the consultation process. </w:t>
      </w:r>
    </w:p>
    <w:p w14:paraId="68B0081C" w14:textId="77777777" w:rsidR="00CA3526" w:rsidRPr="00A75B8D" w:rsidRDefault="00CA3526" w:rsidP="00CA3526">
      <w:pPr>
        <w:rPr>
          <w:rFonts w:ascii="Calibri" w:hAnsi="Calibri" w:cs="Calibri"/>
          <w:b/>
        </w:rPr>
      </w:pPr>
      <w:r w:rsidRPr="00A75B8D">
        <w:rPr>
          <w:rFonts w:ascii="Calibri" w:hAnsi="Calibri" w:cs="Calibri"/>
          <w:b/>
        </w:rPr>
        <w:t>Recommendation</w:t>
      </w:r>
    </w:p>
    <w:p w14:paraId="44340F96" w14:textId="77777777" w:rsidR="00CA3526" w:rsidRPr="00A75B8D" w:rsidRDefault="00CA3526" w:rsidP="00CA3526">
      <w:pPr>
        <w:pStyle w:val="ListParagraph"/>
        <w:numPr>
          <w:ilvl w:val="0"/>
          <w:numId w:val="3"/>
        </w:numPr>
        <w:spacing w:line="278" w:lineRule="auto"/>
        <w:rPr>
          <w:rFonts w:ascii="Calibri" w:hAnsi="Calibri" w:cs="Calibri"/>
        </w:rPr>
      </w:pPr>
      <w:r w:rsidRPr="00A75B8D">
        <w:rPr>
          <w:rFonts w:ascii="Calibri" w:hAnsi="Calibri" w:cs="Calibri"/>
        </w:rPr>
        <w:t>Create Harm Reduction as a stand</w:t>
      </w:r>
      <w:r w:rsidRPr="005841DC">
        <w:rPr>
          <w:rFonts w:ascii="Cambria Math" w:hAnsi="Cambria Math" w:cs="Cambria Math"/>
        </w:rPr>
        <w:t>‑</w:t>
      </w:r>
      <w:r w:rsidRPr="00A75B8D">
        <w:rPr>
          <w:rFonts w:ascii="Calibri" w:hAnsi="Calibri" w:cs="Calibri"/>
        </w:rPr>
        <w:t xml:space="preserve">alone program objective within the DAP Program Logic. </w:t>
      </w:r>
    </w:p>
    <w:p w14:paraId="1C46B92C" w14:textId="4FEE11FA" w:rsidR="00CA3526" w:rsidRPr="00A75B8D" w:rsidRDefault="00CA3526" w:rsidP="00CA3526">
      <w:pPr>
        <w:pStyle w:val="ListParagraph"/>
        <w:numPr>
          <w:ilvl w:val="1"/>
          <w:numId w:val="3"/>
        </w:numPr>
        <w:spacing w:line="278" w:lineRule="auto"/>
        <w:rPr>
          <w:rFonts w:ascii="Calibri" w:hAnsi="Calibri" w:cs="Calibri"/>
        </w:rPr>
      </w:pPr>
      <w:r w:rsidRPr="00A75B8D">
        <w:rPr>
          <w:rFonts w:ascii="Calibri" w:hAnsi="Calibri" w:cs="Calibri"/>
        </w:rPr>
        <w:t xml:space="preserve">Define the program objective’s purpose in line with the National Drug Strategy as </w:t>
      </w:r>
      <w:r w:rsidR="003F2093">
        <w:rPr>
          <w:rFonts w:ascii="Calibri" w:hAnsi="Calibri" w:cs="Calibri"/>
        </w:rPr>
        <w:t>‘</w:t>
      </w:r>
      <w:r w:rsidRPr="00A75B8D">
        <w:rPr>
          <w:rFonts w:ascii="Calibri" w:hAnsi="Calibri" w:cs="Calibri"/>
          <w:i/>
        </w:rPr>
        <w:t>reducing the adverse health, social and economic consequences of the use of drugs, for the user, their families and the wider community</w:t>
      </w:r>
      <w:r w:rsidR="003F2093">
        <w:rPr>
          <w:rFonts w:ascii="Calibri" w:hAnsi="Calibri" w:cs="Calibri"/>
          <w:i/>
        </w:rPr>
        <w:t>’</w:t>
      </w:r>
      <w:r w:rsidR="0045253C">
        <w:rPr>
          <w:rStyle w:val="FootnoteReference"/>
          <w:rFonts w:ascii="Calibri" w:hAnsi="Calibri" w:cs="Calibri"/>
          <w:i/>
        </w:rPr>
        <w:footnoteReference w:id="5"/>
      </w:r>
    </w:p>
    <w:p w14:paraId="603A91FE" w14:textId="77777777" w:rsidR="00CA3526" w:rsidRPr="00A75B8D" w:rsidRDefault="00CA3526" w:rsidP="00CA3526">
      <w:pPr>
        <w:pStyle w:val="ListParagraph"/>
        <w:ind w:left="2160"/>
        <w:rPr>
          <w:rFonts w:ascii="Calibri" w:hAnsi="Calibri" w:cs="Calibri"/>
        </w:rPr>
      </w:pPr>
    </w:p>
    <w:p w14:paraId="257646FB" w14:textId="77777777" w:rsidR="009837CD" w:rsidRPr="00A75B8D" w:rsidRDefault="009837CD" w:rsidP="00CA3526">
      <w:pPr>
        <w:pStyle w:val="ListParagraph"/>
        <w:ind w:left="2160"/>
        <w:rPr>
          <w:rFonts w:ascii="Calibri" w:hAnsi="Calibri" w:cs="Calibri"/>
        </w:rPr>
      </w:pPr>
    </w:p>
    <w:p w14:paraId="228B8562" w14:textId="76956757" w:rsidR="00CA3526" w:rsidRPr="00A75B8D" w:rsidRDefault="009A5657" w:rsidP="001F69B8">
      <w:pPr>
        <w:pStyle w:val="Heading2"/>
        <w:rPr>
          <w:rFonts w:ascii="Calibri" w:hAnsi="Calibri" w:cs="Calibri"/>
        </w:rPr>
      </w:pPr>
      <w:r w:rsidRPr="00A75B8D">
        <w:rPr>
          <w:rFonts w:ascii="Calibri" w:hAnsi="Calibri" w:cs="Calibri"/>
        </w:rPr>
        <w:t xml:space="preserve">Section </w:t>
      </w:r>
      <w:r w:rsidR="0045253C">
        <w:rPr>
          <w:rFonts w:ascii="Calibri" w:hAnsi="Calibri" w:cs="Calibri"/>
        </w:rPr>
        <w:t>2</w:t>
      </w:r>
      <w:r w:rsidRPr="00A75B8D">
        <w:rPr>
          <w:rFonts w:ascii="Calibri" w:hAnsi="Calibri" w:cs="Calibri"/>
        </w:rPr>
        <w:t xml:space="preserve"> – Key Activities </w:t>
      </w:r>
    </w:p>
    <w:p w14:paraId="602F17E9" w14:textId="2EE961D1" w:rsidR="00CA3526" w:rsidRPr="00A75B8D" w:rsidRDefault="00956EC4" w:rsidP="00CA3526">
      <w:pPr>
        <w:rPr>
          <w:rFonts w:ascii="Calibri" w:hAnsi="Calibri" w:cs="Calibri"/>
        </w:rPr>
      </w:pPr>
      <w:r w:rsidRPr="00A75B8D">
        <w:rPr>
          <w:rFonts w:ascii="Calibri" w:hAnsi="Calibri" w:cs="Calibri"/>
        </w:rPr>
        <w:t>Penington Institute strongly believes h</w:t>
      </w:r>
      <w:r w:rsidR="00CA3526" w:rsidRPr="00A75B8D">
        <w:rPr>
          <w:rFonts w:ascii="Calibri" w:hAnsi="Calibri" w:cs="Calibri"/>
        </w:rPr>
        <w:t xml:space="preserve">arm reduction should be actionable throughout the program logic and key performance indicators, not confined to a single activity stream within the wider system. </w:t>
      </w:r>
    </w:p>
    <w:p w14:paraId="09B53118" w14:textId="679C5E55" w:rsidR="00CA3526" w:rsidRPr="00A75B8D" w:rsidRDefault="00CA3526" w:rsidP="00CA3526">
      <w:pPr>
        <w:rPr>
          <w:rFonts w:ascii="Calibri" w:hAnsi="Calibri" w:cs="Calibri"/>
        </w:rPr>
      </w:pPr>
      <w:r w:rsidRPr="00A75B8D">
        <w:rPr>
          <w:rFonts w:ascii="Calibri" w:hAnsi="Calibri" w:cs="Calibri"/>
        </w:rPr>
        <w:t>Currently, harm reduction appears briefly as an activity within the Treatment, Recovery and Management</w:t>
      </w:r>
      <w:r w:rsidRPr="00A75B8D">
        <w:rPr>
          <w:rFonts w:ascii="Calibri" w:hAnsi="Calibri" w:cs="Calibri"/>
          <w:i/>
        </w:rPr>
        <w:t xml:space="preserve"> </w:t>
      </w:r>
      <w:r w:rsidRPr="00A75B8D">
        <w:rPr>
          <w:rFonts w:ascii="Calibri" w:hAnsi="Calibri" w:cs="Calibri"/>
        </w:rPr>
        <w:t xml:space="preserve">category – with no directly corresponding KPIs. In line with the Evaluation Report’s recommendation for greater focus on harm reduction, the Early </w:t>
      </w:r>
      <w:r w:rsidR="002A51A5">
        <w:rPr>
          <w:rFonts w:ascii="Calibri" w:hAnsi="Calibri" w:cs="Calibri"/>
        </w:rPr>
        <w:t>I</w:t>
      </w:r>
      <w:r w:rsidRPr="00A75B8D">
        <w:rPr>
          <w:rFonts w:ascii="Calibri" w:hAnsi="Calibri" w:cs="Calibri"/>
        </w:rPr>
        <w:t xml:space="preserve">ntervention and Treatment, </w:t>
      </w:r>
      <w:r w:rsidR="002A51A5">
        <w:rPr>
          <w:rFonts w:ascii="Calibri" w:hAnsi="Calibri" w:cs="Calibri"/>
        </w:rPr>
        <w:t>R</w:t>
      </w:r>
      <w:r w:rsidRPr="00A75B8D">
        <w:rPr>
          <w:rFonts w:ascii="Calibri" w:hAnsi="Calibri" w:cs="Calibri"/>
        </w:rPr>
        <w:t xml:space="preserve">ecovery and </w:t>
      </w:r>
      <w:r w:rsidR="002A51A5">
        <w:rPr>
          <w:rFonts w:ascii="Calibri" w:hAnsi="Calibri" w:cs="Calibri"/>
        </w:rPr>
        <w:t>M</w:t>
      </w:r>
      <w:r w:rsidRPr="00A75B8D">
        <w:rPr>
          <w:rFonts w:ascii="Calibri" w:hAnsi="Calibri" w:cs="Calibri"/>
        </w:rPr>
        <w:t>anagement program objectives should each include activities designed to keep people alive and lower the risk of harms from drug use. These activities should target and measure meaningful health outcomes, including overdoses prevented; safer consumption; reduced injecting</w:t>
      </w:r>
      <w:r w:rsidR="00EE011B">
        <w:rPr>
          <w:rFonts w:ascii="Calibri" w:hAnsi="Calibri" w:cs="Calibri"/>
        </w:rPr>
        <w:t>-</w:t>
      </w:r>
      <w:r w:rsidRPr="00A75B8D">
        <w:rPr>
          <w:rFonts w:ascii="Calibri" w:hAnsi="Calibri" w:cs="Calibri"/>
        </w:rPr>
        <w:t xml:space="preserve">related injuries and lower rates of disease transmission; </w:t>
      </w:r>
      <w:r w:rsidRPr="00A75B8D">
        <w:rPr>
          <w:rFonts w:ascii="Calibri" w:hAnsi="Calibri" w:cs="Calibri"/>
        </w:rPr>
        <w:lastRenderedPageBreak/>
        <w:t>improved community awareness of the risks linked to unregulated drug markets; and improved competence and capacity across the AOD workforce.</w:t>
      </w:r>
    </w:p>
    <w:p w14:paraId="07292B55" w14:textId="762BD6E7" w:rsidR="00CA3526" w:rsidRPr="00A75B8D" w:rsidRDefault="00CA3526" w:rsidP="00CA3526">
      <w:pPr>
        <w:rPr>
          <w:rFonts w:ascii="Calibri" w:hAnsi="Calibri" w:cs="Calibri"/>
        </w:rPr>
      </w:pPr>
      <w:r w:rsidRPr="00A75B8D">
        <w:rPr>
          <w:rFonts w:ascii="Calibri" w:hAnsi="Calibri" w:cs="Calibri"/>
        </w:rPr>
        <w:t xml:space="preserve">The most coherent way to incorporate additional harm reduction activities would be through the addition of a harm reduction objective from which those activities flow. In addition, harm reduction activities should be holistically integrated into other program objectives. </w:t>
      </w:r>
    </w:p>
    <w:p w14:paraId="5170058A" w14:textId="77777777" w:rsidR="00CA3526" w:rsidRPr="00A75B8D" w:rsidRDefault="00CA3526" w:rsidP="00CA3526">
      <w:pPr>
        <w:spacing w:line="278" w:lineRule="auto"/>
        <w:rPr>
          <w:rFonts w:ascii="Calibri" w:hAnsi="Calibri" w:cs="Calibri"/>
          <w:b/>
        </w:rPr>
      </w:pPr>
      <w:r w:rsidRPr="00A75B8D">
        <w:rPr>
          <w:rFonts w:ascii="Calibri" w:hAnsi="Calibri" w:cs="Calibri"/>
          <w:b/>
        </w:rPr>
        <w:t>Recommendation</w:t>
      </w:r>
    </w:p>
    <w:p w14:paraId="519158AC" w14:textId="2F845241" w:rsidR="00CA3526" w:rsidRPr="00A75B8D" w:rsidRDefault="00CA3526" w:rsidP="00CA3526">
      <w:pPr>
        <w:pStyle w:val="ListParagraph"/>
        <w:numPr>
          <w:ilvl w:val="0"/>
          <w:numId w:val="3"/>
        </w:numPr>
        <w:spacing w:line="278" w:lineRule="auto"/>
        <w:rPr>
          <w:rFonts w:ascii="Calibri" w:hAnsi="Calibri" w:cs="Calibri"/>
        </w:rPr>
      </w:pPr>
      <w:r w:rsidRPr="00A75B8D">
        <w:rPr>
          <w:rFonts w:ascii="Calibri" w:hAnsi="Calibri" w:cs="Calibri"/>
        </w:rPr>
        <w:t xml:space="preserve">Specify core activities under the Harm </w:t>
      </w:r>
      <w:r w:rsidR="002A51A5">
        <w:rPr>
          <w:rFonts w:ascii="Calibri" w:hAnsi="Calibri" w:cs="Calibri"/>
        </w:rPr>
        <w:t>R</w:t>
      </w:r>
      <w:r w:rsidRPr="00A75B8D">
        <w:rPr>
          <w:rFonts w:ascii="Calibri" w:hAnsi="Calibri" w:cs="Calibri"/>
        </w:rPr>
        <w:t>eduction program objective, in line with stakeholder feedback and recommendations in the Evaluation Report.</w:t>
      </w:r>
    </w:p>
    <w:p w14:paraId="50039AA5" w14:textId="77777777" w:rsidR="00CA3526" w:rsidRPr="00A75B8D" w:rsidRDefault="00CA3526" w:rsidP="00CA3526">
      <w:pPr>
        <w:pStyle w:val="ListParagraph"/>
        <w:numPr>
          <w:ilvl w:val="1"/>
          <w:numId w:val="3"/>
        </w:numPr>
        <w:spacing w:line="278" w:lineRule="auto"/>
        <w:rPr>
          <w:rFonts w:ascii="Calibri" w:hAnsi="Calibri" w:cs="Calibri"/>
        </w:rPr>
      </w:pPr>
      <w:r w:rsidRPr="00A75B8D">
        <w:rPr>
          <w:rFonts w:ascii="Calibri" w:hAnsi="Calibri" w:cs="Calibri"/>
        </w:rPr>
        <w:t xml:space="preserve">Key activities may include, but are not limited to: </w:t>
      </w:r>
    </w:p>
    <w:p w14:paraId="355095D1" w14:textId="135D401C" w:rsidR="00CA3526" w:rsidRPr="00A75B8D" w:rsidRDefault="00CA3526" w:rsidP="00CA3526">
      <w:pPr>
        <w:pStyle w:val="ListParagraph"/>
        <w:numPr>
          <w:ilvl w:val="3"/>
          <w:numId w:val="2"/>
        </w:numPr>
        <w:spacing w:line="278" w:lineRule="auto"/>
        <w:rPr>
          <w:rFonts w:ascii="Calibri" w:hAnsi="Calibri" w:cs="Calibri"/>
        </w:rPr>
      </w:pPr>
      <w:r w:rsidRPr="00A75B8D">
        <w:rPr>
          <w:rFonts w:ascii="Calibri" w:hAnsi="Calibri" w:cs="Calibri"/>
        </w:rPr>
        <w:t xml:space="preserve">Take-home </w:t>
      </w:r>
      <w:r w:rsidR="00A04950">
        <w:rPr>
          <w:rFonts w:ascii="Calibri" w:hAnsi="Calibri" w:cs="Calibri"/>
        </w:rPr>
        <w:t>n</w:t>
      </w:r>
      <w:r w:rsidR="00F33F78" w:rsidRPr="00A75B8D">
        <w:rPr>
          <w:rFonts w:ascii="Calibri" w:hAnsi="Calibri" w:cs="Calibri"/>
        </w:rPr>
        <w:t xml:space="preserve">aloxone </w:t>
      </w:r>
      <w:r w:rsidR="00A04950">
        <w:rPr>
          <w:rFonts w:ascii="Calibri" w:hAnsi="Calibri" w:cs="Calibri"/>
        </w:rPr>
        <w:t>p</w:t>
      </w:r>
      <w:r w:rsidR="00F33F78" w:rsidRPr="00A75B8D">
        <w:rPr>
          <w:rFonts w:ascii="Calibri" w:hAnsi="Calibri" w:cs="Calibri"/>
        </w:rPr>
        <w:t>rograms</w:t>
      </w:r>
      <w:r w:rsidRPr="00A75B8D">
        <w:rPr>
          <w:rFonts w:ascii="Calibri" w:hAnsi="Calibri" w:cs="Calibri"/>
        </w:rPr>
        <w:t xml:space="preserve"> </w:t>
      </w:r>
    </w:p>
    <w:p w14:paraId="6F903FA6" w14:textId="77777777" w:rsidR="00CA3526" w:rsidRPr="00A75B8D" w:rsidRDefault="00CA3526" w:rsidP="00CA3526">
      <w:pPr>
        <w:pStyle w:val="ListParagraph"/>
        <w:numPr>
          <w:ilvl w:val="3"/>
          <w:numId w:val="2"/>
        </w:numPr>
        <w:spacing w:line="278" w:lineRule="auto"/>
        <w:rPr>
          <w:rFonts w:ascii="Calibri" w:hAnsi="Calibri" w:cs="Calibri"/>
        </w:rPr>
      </w:pPr>
      <w:r w:rsidRPr="00A75B8D">
        <w:rPr>
          <w:rFonts w:ascii="Calibri" w:hAnsi="Calibri" w:cs="Calibri"/>
        </w:rPr>
        <w:t xml:space="preserve">Community overdose prevention and response training </w:t>
      </w:r>
    </w:p>
    <w:p w14:paraId="0BE6C383" w14:textId="77777777" w:rsidR="00CA3526" w:rsidRPr="00A75B8D" w:rsidRDefault="00CA3526" w:rsidP="00CA3526">
      <w:pPr>
        <w:pStyle w:val="ListParagraph"/>
        <w:numPr>
          <w:ilvl w:val="3"/>
          <w:numId w:val="2"/>
        </w:numPr>
        <w:spacing w:line="278" w:lineRule="auto"/>
        <w:rPr>
          <w:rFonts w:ascii="Calibri" w:hAnsi="Calibri" w:cs="Calibri"/>
        </w:rPr>
      </w:pPr>
      <w:r w:rsidRPr="00A75B8D">
        <w:rPr>
          <w:rFonts w:ascii="Calibri" w:hAnsi="Calibri" w:cs="Calibri"/>
        </w:rPr>
        <w:t>Needle and syringe program service enhancements</w:t>
      </w:r>
    </w:p>
    <w:p w14:paraId="2EE723FA" w14:textId="77777777" w:rsidR="00CA3526" w:rsidRPr="00A75B8D" w:rsidRDefault="00CA3526" w:rsidP="00CA3526">
      <w:pPr>
        <w:pStyle w:val="ListParagraph"/>
        <w:numPr>
          <w:ilvl w:val="3"/>
          <w:numId w:val="2"/>
        </w:numPr>
        <w:spacing w:line="278" w:lineRule="auto"/>
        <w:rPr>
          <w:rFonts w:ascii="Calibri" w:hAnsi="Calibri" w:cs="Calibri"/>
        </w:rPr>
      </w:pPr>
      <w:r w:rsidRPr="00A75B8D">
        <w:rPr>
          <w:rFonts w:ascii="Calibri" w:hAnsi="Calibri" w:cs="Calibri"/>
        </w:rPr>
        <w:t>Drug-checking service capacity and performance enhancements</w:t>
      </w:r>
    </w:p>
    <w:p w14:paraId="745BE7D0" w14:textId="77777777" w:rsidR="00CA3526" w:rsidRPr="00A75B8D" w:rsidRDefault="00CA3526" w:rsidP="00CA3526">
      <w:pPr>
        <w:pStyle w:val="ListParagraph"/>
        <w:numPr>
          <w:ilvl w:val="3"/>
          <w:numId w:val="2"/>
        </w:numPr>
        <w:spacing w:line="278" w:lineRule="auto"/>
        <w:rPr>
          <w:rFonts w:ascii="Calibri" w:hAnsi="Calibri" w:cs="Calibri"/>
        </w:rPr>
      </w:pPr>
      <w:r w:rsidRPr="00A75B8D">
        <w:rPr>
          <w:rFonts w:ascii="Calibri" w:hAnsi="Calibri" w:cs="Calibri"/>
        </w:rPr>
        <w:t>Initiatives to improve AOD worker capacity and competency</w:t>
      </w:r>
    </w:p>
    <w:p w14:paraId="04D90709" w14:textId="77777777" w:rsidR="00CA3526" w:rsidRPr="00A75B8D" w:rsidRDefault="00CA3526" w:rsidP="00CA3526">
      <w:pPr>
        <w:pStyle w:val="ListParagraph"/>
        <w:numPr>
          <w:ilvl w:val="3"/>
          <w:numId w:val="2"/>
        </w:numPr>
        <w:spacing w:line="278" w:lineRule="auto"/>
        <w:rPr>
          <w:rFonts w:ascii="Calibri" w:hAnsi="Calibri" w:cs="Calibri"/>
        </w:rPr>
      </w:pPr>
      <w:r w:rsidRPr="00A75B8D">
        <w:rPr>
          <w:rFonts w:ascii="Calibri" w:hAnsi="Calibri" w:cs="Calibri"/>
        </w:rPr>
        <w:t xml:space="preserve">Blood-borne virus testing and treatment </w:t>
      </w:r>
    </w:p>
    <w:p w14:paraId="73BF653B" w14:textId="77777777" w:rsidR="00A24422" w:rsidRPr="00A75B8D" w:rsidRDefault="00A24422" w:rsidP="00A24422">
      <w:pPr>
        <w:pStyle w:val="ListParagraph"/>
        <w:spacing w:line="278" w:lineRule="auto"/>
        <w:ind w:left="2520"/>
        <w:rPr>
          <w:rFonts w:ascii="Calibri" w:hAnsi="Calibri" w:cs="Calibri"/>
        </w:rPr>
      </w:pPr>
    </w:p>
    <w:p w14:paraId="2AC3A71F" w14:textId="40B80C37" w:rsidR="00940689" w:rsidRPr="00A75B8D" w:rsidRDefault="00940689" w:rsidP="001F69B8">
      <w:pPr>
        <w:pStyle w:val="Heading2"/>
        <w:rPr>
          <w:rFonts w:ascii="Calibri" w:hAnsi="Calibri" w:cs="Calibri"/>
          <w:lang w:val="en-AU"/>
        </w:rPr>
      </w:pPr>
      <w:r w:rsidRPr="00A75B8D">
        <w:rPr>
          <w:rFonts w:ascii="Calibri" w:hAnsi="Calibri" w:cs="Calibri"/>
          <w:lang w:val="en-AU"/>
        </w:rPr>
        <w:t xml:space="preserve">Section </w:t>
      </w:r>
      <w:r w:rsidR="00A04950">
        <w:rPr>
          <w:rFonts w:ascii="Calibri" w:hAnsi="Calibri" w:cs="Calibri"/>
          <w:lang w:val="en-AU"/>
        </w:rPr>
        <w:t>3</w:t>
      </w:r>
      <w:r w:rsidRPr="00A75B8D">
        <w:rPr>
          <w:rFonts w:ascii="Calibri" w:hAnsi="Calibri" w:cs="Calibri"/>
          <w:lang w:val="en-AU"/>
        </w:rPr>
        <w:t xml:space="preserve"> – </w:t>
      </w:r>
      <w:r w:rsidR="001F49C5" w:rsidRPr="00A75B8D">
        <w:rPr>
          <w:rFonts w:ascii="Calibri" w:hAnsi="Calibri" w:cs="Calibri"/>
          <w:lang w:val="en-AU"/>
        </w:rPr>
        <w:t>P</w:t>
      </w:r>
      <w:r w:rsidRPr="00A75B8D">
        <w:rPr>
          <w:rFonts w:ascii="Calibri" w:hAnsi="Calibri" w:cs="Calibri"/>
          <w:lang w:val="en-AU"/>
        </w:rPr>
        <w:t xml:space="preserve">roposed </w:t>
      </w:r>
      <w:r w:rsidR="001F49C5" w:rsidRPr="00A75B8D">
        <w:rPr>
          <w:rFonts w:ascii="Calibri" w:hAnsi="Calibri" w:cs="Calibri"/>
          <w:lang w:val="en-AU"/>
        </w:rPr>
        <w:t>O</w:t>
      </w:r>
      <w:r w:rsidRPr="00A75B8D">
        <w:rPr>
          <w:rFonts w:ascii="Calibri" w:hAnsi="Calibri" w:cs="Calibri"/>
          <w:lang w:val="en-AU"/>
        </w:rPr>
        <w:t xml:space="preserve">utcomes </w:t>
      </w:r>
    </w:p>
    <w:p w14:paraId="44922399" w14:textId="6FBF4E7C" w:rsidR="00CA3526" w:rsidRPr="00A75B8D" w:rsidRDefault="00CA3526" w:rsidP="00CA3526">
      <w:pPr>
        <w:rPr>
          <w:rFonts w:ascii="Calibri" w:hAnsi="Calibri" w:cs="Calibri"/>
        </w:rPr>
      </w:pPr>
      <w:r w:rsidRPr="00A75B8D">
        <w:rPr>
          <w:rFonts w:ascii="Calibri" w:hAnsi="Calibri" w:cs="Calibri"/>
        </w:rPr>
        <w:t xml:space="preserve">Many of the proposed outcomes are valuable goals. However, long-term key performance indicators </w:t>
      </w:r>
      <w:r w:rsidR="00DE1852" w:rsidRPr="00A75B8D">
        <w:rPr>
          <w:rFonts w:ascii="Calibri" w:hAnsi="Calibri" w:cs="Calibri"/>
        </w:rPr>
        <w:t>centered</w:t>
      </w:r>
      <w:r w:rsidRPr="00A75B8D">
        <w:rPr>
          <w:rFonts w:ascii="Calibri" w:hAnsi="Calibri" w:cs="Calibri"/>
        </w:rPr>
        <w:t xml:space="preserve"> around </w:t>
      </w:r>
      <w:r w:rsidR="001D6AB5">
        <w:rPr>
          <w:rFonts w:ascii="Calibri" w:hAnsi="Calibri" w:cs="Calibri"/>
        </w:rPr>
        <w:t>‘</w:t>
      </w:r>
      <w:r w:rsidRPr="00A75B8D">
        <w:rPr>
          <w:rFonts w:ascii="Calibri" w:hAnsi="Calibri" w:cs="Calibri"/>
        </w:rPr>
        <w:t>reducing prevalence of harmful AOD use</w:t>
      </w:r>
      <w:r w:rsidR="001D6AB5">
        <w:rPr>
          <w:rFonts w:ascii="Calibri" w:hAnsi="Calibri" w:cs="Calibri"/>
        </w:rPr>
        <w:t>’</w:t>
      </w:r>
      <w:r w:rsidRPr="00A75B8D">
        <w:rPr>
          <w:rFonts w:ascii="Calibri" w:hAnsi="Calibri" w:cs="Calibri"/>
        </w:rPr>
        <w:t xml:space="preserve"> and </w:t>
      </w:r>
      <w:r w:rsidR="001D6AB5">
        <w:rPr>
          <w:rFonts w:ascii="Calibri" w:hAnsi="Calibri" w:cs="Calibri"/>
        </w:rPr>
        <w:t>‘</w:t>
      </w:r>
      <w:r w:rsidRPr="00A75B8D">
        <w:rPr>
          <w:rFonts w:ascii="Calibri" w:hAnsi="Calibri" w:cs="Calibri"/>
        </w:rPr>
        <w:t>reducing deaths</w:t>
      </w:r>
      <w:r w:rsidR="001D6AB5">
        <w:rPr>
          <w:rFonts w:ascii="Calibri" w:hAnsi="Calibri" w:cs="Calibri"/>
        </w:rPr>
        <w:t>’</w:t>
      </w:r>
      <w:r w:rsidRPr="00A75B8D">
        <w:rPr>
          <w:rFonts w:ascii="Calibri" w:hAnsi="Calibri" w:cs="Calibri"/>
        </w:rPr>
        <w:t xml:space="preserve"> need to be better incorporated into the framework, specifically:</w:t>
      </w:r>
    </w:p>
    <w:p w14:paraId="356C6CBD" w14:textId="77777777" w:rsidR="00CA3526" w:rsidRPr="00A75B8D" w:rsidRDefault="00CA3526" w:rsidP="00CA3526">
      <w:pPr>
        <w:pStyle w:val="ListParagraph"/>
        <w:numPr>
          <w:ilvl w:val="0"/>
          <w:numId w:val="4"/>
        </w:numPr>
        <w:spacing w:line="278" w:lineRule="auto"/>
        <w:rPr>
          <w:rFonts w:ascii="Calibri" w:hAnsi="Calibri" w:cs="Calibri"/>
        </w:rPr>
      </w:pPr>
      <w:r w:rsidRPr="00A75B8D">
        <w:rPr>
          <w:rFonts w:ascii="Calibri" w:hAnsi="Calibri" w:cs="Calibri"/>
        </w:rPr>
        <w:t>Both prevalence of harmful use and AOD-related deaths are population-level measures. These should be treated as tools to inform system-level reporting, not service provider-level KPIs, due to the impracticality of attributing macro-level results to performance at the individual provider level (especially given data collection challenges).</w:t>
      </w:r>
    </w:p>
    <w:p w14:paraId="1B94656E" w14:textId="77777777" w:rsidR="00CA3526" w:rsidRPr="00A75B8D" w:rsidRDefault="00CA3526" w:rsidP="00CA3526">
      <w:pPr>
        <w:pStyle w:val="ListParagraph"/>
        <w:numPr>
          <w:ilvl w:val="0"/>
          <w:numId w:val="4"/>
        </w:numPr>
        <w:spacing w:line="278" w:lineRule="auto"/>
        <w:rPr>
          <w:rFonts w:ascii="Calibri" w:hAnsi="Calibri" w:cs="Calibri"/>
        </w:rPr>
      </w:pPr>
      <w:r w:rsidRPr="00A75B8D">
        <w:rPr>
          <w:rFonts w:ascii="Calibri" w:hAnsi="Calibri" w:cs="Calibri"/>
        </w:rPr>
        <w:t xml:space="preserve">Data regarding drug-involved deaths suffers from significant reporting lags, so long-term outcomes should have clear timelines supported by short- and medium-term indicators that are in line with program funding rounds. </w:t>
      </w:r>
    </w:p>
    <w:p w14:paraId="2703ED7A" w14:textId="5BE553D1" w:rsidR="00CA3526" w:rsidRPr="00A75B8D" w:rsidRDefault="00CA3526" w:rsidP="00CA3526">
      <w:pPr>
        <w:pStyle w:val="ListParagraph"/>
        <w:numPr>
          <w:ilvl w:val="1"/>
          <w:numId w:val="4"/>
        </w:numPr>
        <w:spacing w:line="278" w:lineRule="auto"/>
        <w:rPr>
          <w:rFonts w:ascii="Calibri" w:hAnsi="Calibri" w:cs="Calibri"/>
        </w:rPr>
      </w:pPr>
      <w:r w:rsidRPr="00A75B8D">
        <w:rPr>
          <w:rFonts w:ascii="Calibri" w:hAnsi="Calibri" w:cs="Calibri"/>
        </w:rPr>
        <w:t xml:space="preserve">The AOD-related deaths KPI should also be clearer about the baseline for measuring progress, e.g. </w:t>
      </w:r>
      <w:r w:rsidR="00506484">
        <w:rPr>
          <w:rFonts w:ascii="Calibri" w:hAnsi="Calibri" w:cs="Calibri"/>
        </w:rPr>
        <w:t>‘</w:t>
      </w:r>
      <w:r w:rsidRPr="00A75B8D">
        <w:rPr>
          <w:rFonts w:ascii="Calibri" w:hAnsi="Calibri" w:cs="Calibri"/>
        </w:rPr>
        <w:t>drug deaths are on average 20% lower over the 2028-2032 period compared with the 2023-2027 average.</w:t>
      </w:r>
      <w:r w:rsidR="00506484">
        <w:rPr>
          <w:rFonts w:ascii="Calibri" w:hAnsi="Calibri" w:cs="Calibri"/>
        </w:rPr>
        <w:t>’</w:t>
      </w:r>
      <w:r w:rsidRPr="00A75B8D">
        <w:rPr>
          <w:rFonts w:ascii="Calibri" w:hAnsi="Calibri" w:cs="Calibri"/>
        </w:rPr>
        <w:t xml:space="preserve"> </w:t>
      </w:r>
    </w:p>
    <w:p w14:paraId="5CBA23DB" w14:textId="77777777" w:rsidR="00CA3526" w:rsidRPr="00A75B8D" w:rsidRDefault="00CA3526" w:rsidP="00CA3526">
      <w:pPr>
        <w:pStyle w:val="ListParagraph"/>
        <w:numPr>
          <w:ilvl w:val="0"/>
          <w:numId w:val="4"/>
        </w:numPr>
        <w:spacing w:line="278" w:lineRule="auto"/>
        <w:rPr>
          <w:rFonts w:ascii="Calibri" w:hAnsi="Calibri" w:cs="Calibri"/>
        </w:rPr>
      </w:pPr>
      <w:r w:rsidRPr="00A75B8D">
        <w:rPr>
          <w:rFonts w:ascii="Calibri" w:hAnsi="Calibri" w:cs="Calibri"/>
        </w:rPr>
        <w:t xml:space="preserve">Reducing deaths should also be a medium-term outcome, especially if harm reduction is built more explicitly into the program objectives to fund activities such as expanding naloxone access or enhancing overdose prevention and response programs. </w:t>
      </w:r>
    </w:p>
    <w:p w14:paraId="6BFE6DC9" w14:textId="77777777" w:rsidR="00CA3526" w:rsidRPr="00A75B8D" w:rsidRDefault="00CA3526" w:rsidP="00CA3526">
      <w:pPr>
        <w:pStyle w:val="ListParagraph"/>
        <w:numPr>
          <w:ilvl w:val="1"/>
          <w:numId w:val="4"/>
        </w:numPr>
        <w:spacing w:line="278" w:lineRule="auto"/>
        <w:rPr>
          <w:rFonts w:ascii="Calibri" w:hAnsi="Calibri" w:cs="Calibri"/>
        </w:rPr>
      </w:pPr>
      <w:r w:rsidRPr="00A75B8D">
        <w:rPr>
          <w:rFonts w:ascii="Calibri" w:hAnsi="Calibri" w:cs="Calibri"/>
        </w:rPr>
        <w:t xml:space="preserve">For example, a naloxone expansion activity could include opioid-related deaths as a medium-term indicator. </w:t>
      </w:r>
    </w:p>
    <w:p w14:paraId="1AC6A112" w14:textId="35A23F93" w:rsidR="00CA3526" w:rsidRPr="00A75B8D" w:rsidRDefault="00CA3526" w:rsidP="00CA3526">
      <w:pPr>
        <w:pStyle w:val="ListParagraph"/>
        <w:numPr>
          <w:ilvl w:val="0"/>
          <w:numId w:val="4"/>
        </w:numPr>
        <w:spacing w:line="278" w:lineRule="auto"/>
        <w:rPr>
          <w:rFonts w:ascii="Calibri" w:hAnsi="Calibri" w:cs="Calibri"/>
        </w:rPr>
      </w:pPr>
      <w:r w:rsidRPr="00A75B8D">
        <w:rPr>
          <w:rFonts w:ascii="Calibri" w:hAnsi="Calibri" w:cs="Calibri"/>
        </w:rPr>
        <w:lastRenderedPageBreak/>
        <w:t xml:space="preserve">Regarding prevalence of harmful use, a greater variety of data, and more specificity regarding the relevant timeframes, is necessary to guide performance assessment. The NDSHS is a key resource but it is not conducted frequently enough and has a significant reporting lag. Ambulance, </w:t>
      </w:r>
      <w:proofErr w:type="spellStart"/>
      <w:r w:rsidRPr="00A75B8D">
        <w:rPr>
          <w:rFonts w:ascii="Calibri" w:hAnsi="Calibri" w:cs="Calibri"/>
        </w:rPr>
        <w:t>hospitalisation</w:t>
      </w:r>
      <w:proofErr w:type="spellEnd"/>
      <w:r w:rsidRPr="00A75B8D">
        <w:rPr>
          <w:rFonts w:ascii="Calibri" w:hAnsi="Calibri" w:cs="Calibri"/>
        </w:rPr>
        <w:t xml:space="preserve"> and treatment data should all be incorporated into the indicators, while additional survey data and results from the Illicit Drug Reporting System (IDRS) and Ecstasy and Related Drugs Reporting System (EDRS) should complement the NDSHS.</w:t>
      </w:r>
    </w:p>
    <w:p w14:paraId="511DFC7D" w14:textId="77777777" w:rsidR="00CA3526" w:rsidRPr="00A75B8D" w:rsidRDefault="00CA3526" w:rsidP="00CA3526">
      <w:pPr>
        <w:pStyle w:val="ListParagraph"/>
        <w:numPr>
          <w:ilvl w:val="1"/>
          <w:numId w:val="4"/>
        </w:numPr>
        <w:spacing w:line="278" w:lineRule="auto"/>
        <w:rPr>
          <w:rFonts w:ascii="Calibri" w:hAnsi="Calibri" w:cs="Calibri"/>
        </w:rPr>
      </w:pPr>
      <w:r w:rsidRPr="00A75B8D">
        <w:rPr>
          <w:rFonts w:ascii="Calibri" w:hAnsi="Calibri" w:cs="Calibri"/>
        </w:rPr>
        <w:t>The DAP should consider adding as a key output the creation of additional practical indicators of drug harms so that both services and program evaluators have a more accurate and responsive picture of harm reduction and other AOD programs.</w:t>
      </w:r>
    </w:p>
    <w:p w14:paraId="15F94ACE" w14:textId="77777777" w:rsidR="004D1305" w:rsidRPr="00A75B8D" w:rsidRDefault="004D1305" w:rsidP="004D1305">
      <w:pPr>
        <w:pStyle w:val="ListParagraph"/>
        <w:spacing w:line="278" w:lineRule="auto"/>
        <w:ind w:left="1440"/>
        <w:rPr>
          <w:rFonts w:ascii="Calibri" w:hAnsi="Calibri" w:cs="Calibri"/>
        </w:rPr>
      </w:pPr>
    </w:p>
    <w:p w14:paraId="066C3628" w14:textId="77777777" w:rsidR="00CA3526" w:rsidRPr="00A75B8D" w:rsidRDefault="00CA3526" w:rsidP="00CA3526">
      <w:pPr>
        <w:rPr>
          <w:rFonts w:ascii="Calibri" w:hAnsi="Calibri" w:cs="Calibri"/>
          <w:b/>
        </w:rPr>
      </w:pPr>
      <w:r w:rsidRPr="00A75B8D">
        <w:rPr>
          <w:rFonts w:ascii="Calibri" w:hAnsi="Calibri" w:cs="Calibri"/>
          <w:b/>
        </w:rPr>
        <w:t xml:space="preserve">Recommendation </w:t>
      </w:r>
    </w:p>
    <w:p w14:paraId="006661D8" w14:textId="59A2C05B" w:rsidR="00CA3526" w:rsidRPr="00A75B8D" w:rsidRDefault="00CA3526" w:rsidP="00CA3526">
      <w:pPr>
        <w:pStyle w:val="ListParagraph"/>
        <w:numPr>
          <w:ilvl w:val="1"/>
          <w:numId w:val="1"/>
        </w:numPr>
        <w:spacing w:line="278" w:lineRule="auto"/>
        <w:rPr>
          <w:rFonts w:ascii="Calibri" w:hAnsi="Calibri" w:cs="Calibri"/>
        </w:rPr>
      </w:pPr>
      <w:r w:rsidRPr="00A75B8D">
        <w:rPr>
          <w:rFonts w:ascii="Calibri" w:hAnsi="Calibri" w:cs="Calibri"/>
        </w:rPr>
        <w:t xml:space="preserve">Ensure the long-term indicators, such as </w:t>
      </w:r>
      <w:r w:rsidR="003F2093">
        <w:rPr>
          <w:rFonts w:ascii="Calibri" w:hAnsi="Calibri" w:cs="Calibri"/>
        </w:rPr>
        <w:t>‘</w:t>
      </w:r>
      <w:r w:rsidRPr="00A75B8D">
        <w:rPr>
          <w:rFonts w:ascii="Calibri" w:hAnsi="Calibri" w:cs="Calibri"/>
        </w:rPr>
        <w:t>prevalence of harmful use</w:t>
      </w:r>
      <w:r w:rsidR="003F2093">
        <w:rPr>
          <w:rFonts w:ascii="Calibri" w:hAnsi="Calibri" w:cs="Calibri"/>
        </w:rPr>
        <w:t>’</w:t>
      </w:r>
      <w:r w:rsidRPr="00A75B8D">
        <w:rPr>
          <w:rFonts w:ascii="Calibri" w:hAnsi="Calibri" w:cs="Calibri"/>
        </w:rPr>
        <w:t xml:space="preserve"> and </w:t>
      </w:r>
      <w:r w:rsidR="003F2093">
        <w:rPr>
          <w:rFonts w:ascii="Calibri" w:hAnsi="Calibri" w:cs="Calibri"/>
        </w:rPr>
        <w:t>‘</w:t>
      </w:r>
      <w:r w:rsidRPr="00A75B8D">
        <w:rPr>
          <w:rFonts w:ascii="Calibri" w:hAnsi="Calibri" w:cs="Calibri"/>
        </w:rPr>
        <w:t>AOD-related harms</w:t>
      </w:r>
      <w:r w:rsidR="003F2093">
        <w:rPr>
          <w:rFonts w:ascii="Calibri" w:hAnsi="Calibri" w:cs="Calibri"/>
        </w:rPr>
        <w:t>’</w:t>
      </w:r>
      <w:r w:rsidRPr="00A75B8D">
        <w:rPr>
          <w:rFonts w:ascii="Calibri" w:hAnsi="Calibri" w:cs="Calibri"/>
        </w:rPr>
        <w:t xml:space="preserve"> are specific, measurable, time-bound, and are able to address drug harm data gaps and reporting lags. </w:t>
      </w:r>
    </w:p>
    <w:p w14:paraId="3735C107" w14:textId="77777777" w:rsidR="001F69B8" w:rsidRPr="00A75B8D" w:rsidRDefault="001F69B8" w:rsidP="001F69B8">
      <w:pPr>
        <w:pStyle w:val="ListParagraph"/>
        <w:spacing w:line="278" w:lineRule="auto"/>
        <w:ind w:left="1440"/>
        <w:rPr>
          <w:rFonts w:ascii="Calibri" w:hAnsi="Calibri" w:cs="Calibri"/>
        </w:rPr>
      </w:pPr>
    </w:p>
    <w:p w14:paraId="7AFF6F43" w14:textId="7E3FFCA2" w:rsidR="00CA3526" w:rsidRPr="00A75B8D" w:rsidRDefault="00AE2B8D" w:rsidP="001F69B8">
      <w:pPr>
        <w:pStyle w:val="Heading2"/>
        <w:rPr>
          <w:rFonts w:ascii="Calibri" w:hAnsi="Calibri" w:cs="Calibri"/>
          <w:lang w:val="en-AU"/>
        </w:rPr>
      </w:pPr>
      <w:r w:rsidRPr="00A75B8D">
        <w:rPr>
          <w:rFonts w:ascii="Calibri" w:hAnsi="Calibri" w:cs="Calibri"/>
          <w:lang w:val="en-AU"/>
        </w:rPr>
        <w:t xml:space="preserve">Section </w:t>
      </w:r>
      <w:r w:rsidR="001B0368">
        <w:rPr>
          <w:rFonts w:ascii="Calibri" w:hAnsi="Calibri" w:cs="Calibri"/>
          <w:lang w:val="en-AU"/>
        </w:rPr>
        <w:t>4</w:t>
      </w:r>
      <w:r w:rsidRPr="00A75B8D">
        <w:rPr>
          <w:rFonts w:ascii="Calibri" w:hAnsi="Calibri" w:cs="Calibri"/>
          <w:lang w:val="en-AU"/>
        </w:rPr>
        <w:t xml:space="preserve"> – Key Performance Indicators </w:t>
      </w:r>
      <w:r w:rsidR="007C5A6E" w:rsidRPr="00A75B8D">
        <w:rPr>
          <w:rFonts w:ascii="Calibri" w:hAnsi="Calibri" w:cs="Calibri"/>
          <w:lang w:val="en-AU"/>
        </w:rPr>
        <w:t>(KPI)</w:t>
      </w:r>
    </w:p>
    <w:p w14:paraId="2EA1A0B7" w14:textId="4527F279" w:rsidR="00BF1F6C" w:rsidRPr="00A75B8D" w:rsidRDefault="00BF1F6C" w:rsidP="00BF1F6C">
      <w:pPr>
        <w:rPr>
          <w:rFonts w:ascii="Calibri" w:hAnsi="Calibri" w:cs="Calibri"/>
          <w:b/>
        </w:rPr>
      </w:pPr>
      <w:bookmarkStart w:id="0" w:name="_Toc224050048"/>
      <w:r w:rsidRPr="00A75B8D">
        <w:rPr>
          <w:rFonts w:ascii="Calibri" w:hAnsi="Calibri" w:cs="Calibri"/>
          <w:b/>
        </w:rPr>
        <w:t>Balance between activities versus outcomes</w:t>
      </w:r>
      <w:bookmarkEnd w:id="0"/>
      <w:r w:rsidRPr="00A75B8D">
        <w:rPr>
          <w:rFonts w:ascii="Calibri" w:hAnsi="Calibri" w:cs="Calibri"/>
          <w:b/>
        </w:rPr>
        <w:t xml:space="preserve"> </w:t>
      </w:r>
      <w:r w:rsidR="007C5A6E" w:rsidRPr="00A75B8D">
        <w:rPr>
          <w:rFonts w:ascii="Calibri" w:hAnsi="Calibri" w:cs="Calibri"/>
          <w:b/>
        </w:rPr>
        <w:t xml:space="preserve">KPIs </w:t>
      </w:r>
    </w:p>
    <w:p w14:paraId="099F62BA" w14:textId="77777777" w:rsidR="00BF1F6C" w:rsidRPr="00A75B8D" w:rsidRDefault="00BF1F6C" w:rsidP="00BF1F6C">
      <w:pPr>
        <w:rPr>
          <w:rFonts w:ascii="Calibri" w:hAnsi="Calibri" w:cs="Calibri"/>
        </w:rPr>
      </w:pPr>
      <w:r w:rsidRPr="00A75B8D">
        <w:rPr>
          <w:rFonts w:ascii="Calibri" w:hAnsi="Calibri" w:cs="Calibri"/>
        </w:rPr>
        <w:t xml:space="preserve">The draft KPIs place strong emphasis on counting service activities rather than assessing whether AOD harms have decreased. Many of the proposed indicators measure outcomes such as the number of clients reached, screenings completed, referrals made, or sessions delivered, especially within the short-term outcomes specified. While this information has administrative value, it does not indicate whether the activity, along with the DAP program in its entirety, is achieving its intended public health purpose in line with the National Drug Strategy. </w:t>
      </w:r>
    </w:p>
    <w:p w14:paraId="429B2FAB" w14:textId="26B8E247" w:rsidR="00BF1F6C" w:rsidRPr="00A75B8D" w:rsidRDefault="00BF1F6C" w:rsidP="00BF1F6C">
      <w:pPr>
        <w:rPr>
          <w:rFonts w:ascii="Calibri" w:hAnsi="Calibri" w:cs="Calibri"/>
        </w:rPr>
      </w:pPr>
      <w:r w:rsidRPr="00A75B8D">
        <w:rPr>
          <w:rFonts w:ascii="Calibri" w:hAnsi="Calibri" w:cs="Calibri"/>
        </w:rPr>
        <w:t>Counting activities tells us what services did, but it does not tell us whether services made people safer. A service can deliver large numbers of screenings or referrals without reducing overdose risk, improving cultural safety, decreasing injecting</w:t>
      </w:r>
      <w:r w:rsidRPr="00A75B8D">
        <w:rPr>
          <w:rFonts w:ascii="Calibri" w:hAnsi="Calibri" w:cs="Calibri"/>
        </w:rPr>
        <w:noBreakHyphen/>
        <w:t>related injuries, strengthening drug literacy, facilitating continuity of care or other crucial substantive outcomes. In practice, a high</w:t>
      </w:r>
      <w:r w:rsidRPr="00A75B8D">
        <w:rPr>
          <w:rFonts w:ascii="Calibri" w:hAnsi="Calibri" w:cs="Calibri"/>
        </w:rPr>
        <w:noBreakHyphen/>
        <w:t>volume, activity</w:t>
      </w:r>
      <w:r w:rsidRPr="00A75B8D">
        <w:rPr>
          <w:rFonts w:ascii="Calibri" w:hAnsi="Calibri" w:cs="Calibri"/>
        </w:rPr>
        <w:noBreakHyphen/>
        <w:t xml:space="preserve">heavy system can still produce poor harm reduction outcomes – and a focus on activity numbers may </w:t>
      </w:r>
      <w:proofErr w:type="spellStart"/>
      <w:r w:rsidRPr="00A75B8D">
        <w:rPr>
          <w:rFonts w:ascii="Calibri" w:hAnsi="Calibri" w:cs="Calibri"/>
        </w:rPr>
        <w:t>incentivise</w:t>
      </w:r>
      <w:proofErr w:type="spellEnd"/>
      <w:r w:rsidRPr="00A75B8D">
        <w:rPr>
          <w:rFonts w:ascii="Calibri" w:hAnsi="Calibri" w:cs="Calibri"/>
        </w:rPr>
        <w:t xml:space="preserve"> a focus on quantity over quality.</w:t>
      </w:r>
      <w:r w:rsidR="00CD4C35">
        <w:rPr>
          <w:rStyle w:val="FootnoteReference"/>
          <w:rFonts w:ascii="Calibri" w:hAnsi="Calibri" w:cs="Calibri"/>
        </w:rPr>
        <w:footnoteReference w:id="6"/>
      </w:r>
    </w:p>
    <w:p w14:paraId="56809281" w14:textId="77777777" w:rsidR="00BF1F6C" w:rsidRPr="00A75B8D" w:rsidRDefault="00BF1F6C" w:rsidP="00BF1F6C">
      <w:pPr>
        <w:rPr>
          <w:rFonts w:ascii="Calibri" w:hAnsi="Calibri" w:cs="Calibri"/>
        </w:rPr>
      </w:pPr>
      <w:r w:rsidRPr="00A75B8D">
        <w:rPr>
          <w:rFonts w:ascii="Calibri" w:hAnsi="Calibri" w:cs="Calibri"/>
        </w:rPr>
        <w:lastRenderedPageBreak/>
        <w:t xml:space="preserve">A set of key performance indicators built on a harm </w:t>
      </w:r>
      <w:proofErr w:type="spellStart"/>
      <w:r w:rsidRPr="00A75B8D">
        <w:rPr>
          <w:rFonts w:ascii="Calibri" w:hAnsi="Calibri" w:cs="Calibri"/>
        </w:rPr>
        <w:t>minimisation</w:t>
      </w:r>
      <w:proofErr w:type="spellEnd"/>
      <w:r w:rsidRPr="00A75B8D">
        <w:rPr>
          <w:rFonts w:ascii="Calibri" w:hAnsi="Calibri" w:cs="Calibri"/>
        </w:rPr>
        <w:t xml:space="preserve"> framework should primarily measure changes in risk, safety, equity and wellbeing, not simply service throughput. This is especially important in an environment of constantly mutating drug markets</w:t>
      </w:r>
      <w:r w:rsidRPr="00A75B8D">
        <w:rPr>
          <w:rStyle w:val="FootnoteReference"/>
          <w:rFonts w:ascii="Calibri" w:hAnsi="Calibri" w:cs="Calibri"/>
        </w:rPr>
        <w:footnoteReference w:id="7"/>
      </w:r>
      <w:r w:rsidRPr="00A75B8D">
        <w:rPr>
          <w:rFonts w:ascii="Calibri" w:hAnsi="Calibri" w:cs="Calibri"/>
        </w:rPr>
        <w:t>, where the true test of system effectiveness is whether preventable harms are being reduced.</w:t>
      </w:r>
    </w:p>
    <w:p w14:paraId="6944148A" w14:textId="766806B8" w:rsidR="006F2774" w:rsidRPr="00A75B8D" w:rsidRDefault="00BF1F6C" w:rsidP="00BF1F6C">
      <w:pPr>
        <w:rPr>
          <w:rFonts w:ascii="Calibri" w:hAnsi="Calibri" w:cs="Calibri"/>
        </w:rPr>
      </w:pPr>
      <w:r w:rsidRPr="00A75B8D">
        <w:rPr>
          <w:rFonts w:ascii="Calibri" w:hAnsi="Calibri" w:cs="Calibri"/>
        </w:rPr>
        <w:t>Shifting the balance of KPIs from activities to outcomes would make the DAP more effective at demonstrating public</w:t>
      </w:r>
      <w:r w:rsidR="005C68F5">
        <w:rPr>
          <w:rFonts w:ascii="Calibri" w:hAnsi="Calibri" w:cs="Calibri"/>
        </w:rPr>
        <w:t xml:space="preserve"> </w:t>
      </w:r>
      <w:r w:rsidRPr="00A75B8D">
        <w:rPr>
          <w:rFonts w:ascii="Calibri" w:hAnsi="Calibri" w:cs="Calibri"/>
        </w:rPr>
        <w:t>health impact, support better commissioning decisions, and align the metrics with the intent of the NDS.</w:t>
      </w:r>
    </w:p>
    <w:p w14:paraId="02B973EF" w14:textId="77777777" w:rsidR="00BF1F6C" w:rsidRPr="00A75B8D" w:rsidRDefault="00BF1F6C" w:rsidP="00BF1F6C">
      <w:pPr>
        <w:rPr>
          <w:rFonts w:ascii="Calibri" w:hAnsi="Calibri" w:cs="Calibri"/>
          <w:b/>
        </w:rPr>
      </w:pPr>
      <w:r w:rsidRPr="00A75B8D">
        <w:rPr>
          <w:rFonts w:ascii="Calibri" w:hAnsi="Calibri" w:cs="Calibri"/>
          <w:b/>
        </w:rPr>
        <w:t xml:space="preserve">Recommendation </w:t>
      </w:r>
    </w:p>
    <w:p w14:paraId="5F357BF3" w14:textId="76A89762" w:rsidR="00BF1F6C" w:rsidRPr="00A75B8D" w:rsidRDefault="00BF1F6C" w:rsidP="00CA3526">
      <w:pPr>
        <w:pStyle w:val="ListParagraph"/>
        <w:numPr>
          <w:ilvl w:val="0"/>
          <w:numId w:val="7"/>
        </w:numPr>
        <w:spacing w:line="278" w:lineRule="auto"/>
        <w:rPr>
          <w:rFonts w:ascii="Calibri" w:hAnsi="Calibri" w:cs="Calibri"/>
        </w:rPr>
      </w:pPr>
      <w:proofErr w:type="spellStart"/>
      <w:r w:rsidRPr="00A75B8D">
        <w:rPr>
          <w:rFonts w:ascii="Calibri" w:hAnsi="Calibri" w:cs="Calibri"/>
        </w:rPr>
        <w:t>Prioritise</w:t>
      </w:r>
      <w:proofErr w:type="spellEnd"/>
      <w:r w:rsidRPr="00A75B8D">
        <w:rPr>
          <w:rFonts w:ascii="Calibri" w:hAnsi="Calibri" w:cs="Calibri"/>
        </w:rPr>
        <w:t xml:space="preserve"> KPIs based on outcome measures that demonstrate the level of harm </w:t>
      </w:r>
      <w:r w:rsidR="002825C1" w:rsidRPr="00A75B8D">
        <w:rPr>
          <w:rFonts w:ascii="Calibri" w:hAnsi="Calibri" w:cs="Calibri"/>
        </w:rPr>
        <w:t>is reduced</w:t>
      </w:r>
      <w:r w:rsidRPr="00A75B8D">
        <w:rPr>
          <w:rFonts w:ascii="Calibri" w:hAnsi="Calibri" w:cs="Calibri"/>
        </w:rPr>
        <w:t>. Use activity counts as supporting information, not as the primary indicators of success.</w:t>
      </w:r>
    </w:p>
    <w:p w14:paraId="22A0D961" w14:textId="77777777" w:rsidR="00E6574D" w:rsidRPr="00A75B8D" w:rsidRDefault="00E6574D" w:rsidP="00E6574D">
      <w:pPr>
        <w:pStyle w:val="ListParagraph"/>
        <w:spacing w:line="278" w:lineRule="auto"/>
        <w:rPr>
          <w:rFonts w:ascii="Calibri" w:hAnsi="Calibri" w:cs="Calibri"/>
        </w:rPr>
      </w:pPr>
    </w:p>
    <w:p w14:paraId="5C6C82CE" w14:textId="7A5967B3" w:rsidR="007C5A6E" w:rsidRPr="00E6574D" w:rsidRDefault="00E6574D" w:rsidP="00E6574D">
      <w:pPr>
        <w:pStyle w:val="Heading3"/>
      </w:pPr>
      <w:r>
        <w:t>Integrating harm reduction into proposed K</w:t>
      </w:r>
      <w:r w:rsidR="00116875">
        <w:t>ey Performance Indicators</w:t>
      </w:r>
    </w:p>
    <w:p w14:paraId="4749570F" w14:textId="217D7B81" w:rsidR="000E1E7E" w:rsidRPr="00A75B8D" w:rsidRDefault="00183518" w:rsidP="000E1E7E">
      <w:pPr>
        <w:rPr>
          <w:rFonts w:ascii="Calibri" w:hAnsi="Calibri" w:cs="Calibri"/>
          <w:lang w:val="en-AU"/>
        </w:rPr>
      </w:pPr>
      <w:r w:rsidRPr="00183518">
        <w:rPr>
          <w:rFonts w:ascii="Calibri" w:hAnsi="Calibri" w:cs="Calibri"/>
          <w:lang w:val="en-AU"/>
        </w:rPr>
        <w:t>In addition to meriting a separate program objective, harm reduction should be explicitly included in the outcomes or KPIs across multiple areas of the Program Logic.</w:t>
      </w:r>
    </w:p>
    <w:p w14:paraId="7ECF7FE6" w14:textId="5E5D43F9" w:rsidR="000E1E7E" w:rsidRPr="00183518" w:rsidRDefault="00183518" w:rsidP="000E1E7E">
      <w:pPr>
        <w:rPr>
          <w:rFonts w:ascii="Calibri" w:hAnsi="Calibri" w:cs="Calibri"/>
          <w:b/>
          <w:lang w:val="en-AU"/>
        </w:rPr>
      </w:pPr>
      <w:r w:rsidRPr="00183518">
        <w:rPr>
          <w:rFonts w:ascii="Calibri" w:hAnsi="Calibri" w:cs="Calibri"/>
          <w:b/>
          <w:lang w:val="en-AU"/>
        </w:rPr>
        <w:t>Prevention KPIs</w:t>
      </w:r>
    </w:p>
    <w:p w14:paraId="680687ED" w14:textId="39D8DC37" w:rsidR="0029026E" w:rsidRPr="00A75B8D" w:rsidRDefault="00183518" w:rsidP="00183518">
      <w:pPr>
        <w:rPr>
          <w:rFonts w:ascii="Calibri" w:hAnsi="Calibri" w:cs="Calibri"/>
          <w:lang w:val="en-AU"/>
        </w:rPr>
      </w:pPr>
      <w:r w:rsidRPr="00183518">
        <w:rPr>
          <w:rFonts w:ascii="Calibri" w:hAnsi="Calibri" w:cs="Calibri"/>
          <w:lang w:val="en-AU"/>
        </w:rPr>
        <w:t xml:space="preserve">In the Prevention objective, this includes KPI 3 (Overdose </w:t>
      </w:r>
      <w:r w:rsidR="005C68F5">
        <w:rPr>
          <w:rFonts w:ascii="Calibri" w:hAnsi="Calibri" w:cs="Calibri"/>
          <w:lang w:val="en-AU"/>
        </w:rPr>
        <w:t>A</w:t>
      </w:r>
      <w:r w:rsidRPr="00183518">
        <w:rPr>
          <w:rFonts w:ascii="Calibri" w:hAnsi="Calibri" w:cs="Calibri"/>
          <w:lang w:val="en-AU"/>
        </w:rPr>
        <w:t>wareness). The bolded section in the following KPI indicates an appropriate way to incorporate harm reduction.</w:t>
      </w:r>
    </w:p>
    <w:p w14:paraId="02049630" w14:textId="69AE23A0" w:rsidR="00A36F40" w:rsidRPr="00A75B8D" w:rsidRDefault="00183518" w:rsidP="007C5A6E">
      <w:pPr>
        <w:pStyle w:val="ListParagraph"/>
        <w:numPr>
          <w:ilvl w:val="0"/>
          <w:numId w:val="7"/>
        </w:numPr>
        <w:rPr>
          <w:rFonts w:ascii="Calibri" w:hAnsi="Calibri" w:cs="Calibri"/>
          <w:lang w:val="en-AU"/>
        </w:rPr>
      </w:pPr>
      <w:r w:rsidRPr="00A75B8D">
        <w:rPr>
          <w:rFonts w:ascii="Calibri" w:hAnsi="Calibri" w:cs="Calibri"/>
          <w:lang w:val="en-AU"/>
        </w:rPr>
        <w:t xml:space="preserve">KPI 3 – Overdose Awareness: </w:t>
      </w:r>
      <w:r w:rsidR="005C68F5">
        <w:rPr>
          <w:rFonts w:ascii="Calibri" w:hAnsi="Calibri" w:cs="Calibri"/>
          <w:lang w:val="en-AU"/>
        </w:rPr>
        <w:t>‘</w:t>
      </w:r>
      <w:r w:rsidRPr="00A75B8D">
        <w:rPr>
          <w:rFonts w:ascii="Calibri" w:hAnsi="Calibri" w:cs="Calibri"/>
          <w:lang w:val="en-AU"/>
        </w:rPr>
        <w:t xml:space="preserve">The number and proportion of people that report adequate knowledge of basic AOD use, </w:t>
      </w:r>
      <w:r w:rsidRPr="00A75B8D">
        <w:rPr>
          <w:rFonts w:ascii="Calibri" w:hAnsi="Calibri" w:cs="Calibri"/>
          <w:b/>
          <w:i/>
          <w:lang w:val="en-AU"/>
        </w:rPr>
        <w:t>harm reduction</w:t>
      </w:r>
      <w:r w:rsidRPr="00A75B8D">
        <w:rPr>
          <w:rFonts w:ascii="Calibri" w:hAnsi="Calibri" w:cs="Calibri"/>
          <w:lang w:val="en-AU"/>
        </w:rPr>
        <w:t xml:space="preserve"> and treatment, by priority group.</w:t>
      </w:r>
      <w:r w:rsidR="005C68F5">
        <w:rPr>
          <w:rFonts w:ascii="Calibri" w:hAnsi="Calibri" w:cs="Calibri"/>
          <w:lang w:val="en-AU"/>
        </w:rPr>
        <w:t>’</w:t>
      </w:r>
    </w:p>
    <w:p w14:paraId="65130239" w14:textId="77777777" w:rsidR="00183518" w:rsidRPr="00183518" w:rsidRDefault="00183518" w:rsidP="000E1E7E">
      <w:pPr>
        <w:rPr>
          <w:rFonts w:ascii="Calibri" w:hAnsi="Calibri" w:cs="Calibri"/>
          <w:b/>
          <w:lang w:val="en-AU"/>
        </w:rPr>
      </w:pPr>
      <w:r w:rsidRPr="00183518">
        <w:rPr>
          <w:rFonts w:ascii="Calibri" w:hAnsi="Calibri" w:cs="Calibri"/>
          <w:b/>
          <w:lang w:val="en-AU"/>
        </w:rPr>
        <w:t>Early Intervention KPIs</w:t>
      </w:r>
    </w:p>
    <w:p w14:paraId="2C62F4D1" w14:textId="127EE816" w:rsidR="008D161B" w:rsidRPr="00A75B8D" w:rsidRDefault="00183518" w:rsidP="00183518">
      <w:pPr>
        <w:rPr>
          <w:rFonts w:ascii="Calibri" w:hAnsi="Calibri" w:cs="Calibri"/>
          <w:lang w:val="en-AU"/>
        </w:rPr>
      </w:pPr>
      <w:r w:rsidRPr="00183518">
        <w:rPr>
          <w:rFonts w:ascii="Calibri" w:hAnsi="Calibri" w:cs="Calibri"/>
          <w:lang w:val="en-AU"/>
        </w:rPr>
        <w:t xml:space="preserve">In the Early </w:t>
      </w:r>
      <w:r w:rsidR="005C68F5">
        <w:rPr>
          <w:rFonts w:ascii="Calibri" w:hAnsi="Calibri" w:cs="Calibri"/>
          <w:lang w:val="en-AU"/>
        </w:rPr>
        <w:t>I</w:t>
      </w:r>
      <w:r w:rsidRPr="00183518">
        <w:rPr>
          <w:rFonts w:ascii="Calibri" w:hAnsi="Calibri" w:cs="Calibri"/>
          <w:lang w:val="en-AU"/>
        </w:rPr>
        <w:t xml:space="preserve">ntervention objective, this includes KPI 1 (Intervention </w:t>
      </w:r>
      <w:r w:rsidR="005C68F5">
        <w:rPr>
          <w:rFonts w:ascii="Calibri" w:hAnsi="Calibri" w:cs="Calibri"/>
          <w:lang w:val="en-AU"/>
        </w:rPr>
        <w:t>S</w:t>
      </w:r>
      <w:r w:rsidRPr="00183518">
        <w:rPr>
          <w:rFonts w:ascii="Calibri" w:hAnsi="Calibri" w:cs="Calibri"/>
          <w:lang w:val="en-AU"/>
        </w:rPr>
        <w:t>essions). The bolded section in the following KPI indicates an appropriate way to incorporate harm reduction.</w:t>
      </w:r>
    </w:p>
    <w:p w14:paraId="64EB27C2" w14:textId="06AD91CC" w:rsidR="007C5A6E" w:rsidRPr="00A75B8D" w:rsidRDefault="00183518" w:rsidP="007C5A6E">
      <w:pPr>
        <w:pStyle w:val="ListParagraph"/>
        <w:numPr>
          <w:ilvl w:val="0"/>
          <w:numId w:val="7"/>
        </w:numPr>
        <w:rPr>
          <w:rFonts w:ascii="Calibri" w:hAnsi="Calibri" w:cs="Calibri"/>
          <w:lang w:val="en-AU"/>
        </w:rPr>
      </w:pPr>
      <w:r w:rsidRPr="00A75B8D">
        <w:rPr>
          <w:rFonts w:ascii="Calibri" w:hAnsi="Calibri" w:cs="Calibri"/>
          <w:lang w:val="en-AU"/>
        </w:rPr>
        <w:t xml:space="preserve">KPI 1 – Intervention </w:t>
      </w:r>
      <w:r w:rsidR="005C68F5">
        <w:rPr>
          <w:rFonts w:ascii="Calibri" w:hAnsi="Calibri" w:cs="Calibri"/>
          <w:lang w:val="en-AU"/>
        </w:rPr>
        <w:t>S</w:t>
      </w:r>
      <w:r w:rsidRPr="00A75B8D">
        <w:rPr>
          <w:rFonts w:ascii="Calibri" w:hAnsi="Calibri" w:cs="Calibri"/>
          <w:lang w:val="en-AU"/>
        </w:rPr>
        <w:t xml:space="preserve">essions: </w:t>
      </w:r>
      <w:r w:rsidR="005C68F5">
        <w:rPr>
          <w:rFonts w:ascii="Calibri" w:hAnsi="Calibri" w:cs="Calibri"/>
          <w:lang w:val="en-AU"/>
        </w:rPr>
        <w:t>‘</w:t>
      </w:r>
      <w:r w:rsidRPr="00A75B8D">
        <w:rPr>
          <w:rFonts w:ascii="Calibri" w:hAnsi="Calibri" w:cs="Calibri"/>
          <w:lang w:val="en-AU"/>
        </w:rPr>
        <w:t xml:space="preserve">Number of screening, brief interventions and counselling sessions delivered, </w:t>
      </w:r>
      <w:r w:rsidRPr="00A75B8D">
        <w:rPr>
          <w:rFonts w:ascii="Calibri" w:hAnsi="Calibri" w:cs="Calibri"/>
          <w:b/>
          <w:i/>
          <w:lang w:val="en-AU"/>
        </w:rPr>
        <w:t>including via harm reduction services</w:t>
      </w:r>
      <w:r w:rsidRPr="00A75B8D">
        <w:rPr>
          <w:rFonts w:ascii="Calibri" w:hAnsi="Calibri" w:cs="Calibri"/>
          <w:lang w:val="en-AU"/>
        </w:rPr>
        <w:t>.</w:t>
      </w:r>
      <w:r w:rsidR="005C68F5">
        <w:rPr>
          <w:rFonts w:ascii="Calibri" w:hAnsi="Calibri" w:cs="Calibri"/>
          <w:lang w:val="en-AU"/>
        </w:rPr>
        <w:t>’</w:t>
      </w:r>
    </w:p>
    <w:p w14:paraId="0153B077" w14:textId="77777777" w:rsidR="00183518" w:rsidRPr="00183518" w:rsidRDefault="00183518" w:rsidP="000E1E7E">
      <w:pPr>
        <w:rPr>
          <w:rFonts w:ascii="Calibri" w:hAnsi="Calibri" w:cs="Calibri"/>
          <w:b/>
          <w:lang w:val="en-AU"/>
        </w:rPr>
      </w:pPr>
      <w:r w:rsidRPr="00183518">
        <w:rPr>
          <w:rFonts w:ascii="Calibri" w:hAnsi="Calibri" w:cs="Calibri"/>
          <w:b/>
          <w:lang w:val="en-AU"/>
        </w:rPr>
        <w:t>Treatment, Recovery and Management KPIs</w:t>
      </w:r>
    </w:p>
    <w:p w14:paraId="45EB75AB" w14:textId="1552C818" w:rsidR="002216A3" w:rsidRPr="00A75B8D" w:rsidRDefault="00183518" w:rsidP="00183518">
      <w:pPr>
        <w:rPr>
          <w:rFonts w:ascii="Calibri" w:hAnsi="Calibri" w:cs="Calibri"/>
          <w:lang w:val="en-AU"/>
        </w:rPr>
      </w:pPr>
      <w:r w:rsidRPr="00183518">
        <w:rPr>
          <w:rFonts w:ascii="Calibri" w:hAnsi="Calibri" w:cs="Calibri"/>
          <w:lang w:val="en-AU"/>
        </w:rPr>
        <w:lastRenderedPageBreak/>
        <w:t xml:space="preserve">In the Treatment, </w:t>
      </w:r>
      <w:r w:rsidR="005C68F5">
        <w:rPr>
          <w:rFonts w:ascii="Calibri" w:hAnsi="Calibri" w:cs="Calibri"/>
          <w:lang w:val="en-AU"/>
        </w:rPr>
        <w:t>R</w:t>
      </w:r>
      <w:r w:rsidRPr="00183518">
        <w:rPr>
          <w:rFonts w:ascii="Calibri" w:hAnsi="Calibri" w:cs="Calibri"/>
          <w:lang w:val="en-AU"/>
        </w:rPr>
        <w:t xml:space="preserve">ecovery and </w:t>
      </w:r>
      <w:r w:rsidR="005C68F5">
        <w:rPr>
          <w:rFonts w:ascii="Calibri" w:hAnsi="Calibri" w:cs="Calibri"/>
          <w:lang w:val="en-AU"/>
        </w:rPr>
        <w:t>M</w:t>
      </w:r>
      <w:r w:rsidRPr="00183518">
        <w:rPr>
          <w:rFonts w:ascii="Calibri" w:hAnsi="Calibri" w:cs="Calibri"/>
          <w:lang w:val="en-AU"/>
        </w:rPr>
        <w:t xml:space="preserve">anagement objective, this includes KPI 3 (AOD </w:t>
      </w:r>
      <w:r w:rsidR="005C68F5">
        <w:rPr>
          <w:rFonts w:ascii="Calibri" w:hAnsi="Calibri" w:cs="Calibri"/>
          <w:lang w:val="en-AU"/>
        </w:rPr>
        <w:t>U</w:t>
      </w:r>
      <w:r w:rsidRPr="00183518">
        <w:rPr>
          <w:rFonts w:ascii="Calibri" w:hAnsi="Calibri" w:cs="Calibri"/>
          <w:lang w:val="en-AU"/>
        </w:rPr>
        <w:t xml:space="preserve">se and </w:t>
      </w:r>
      <w:r w:rsidR="005C68F5">
        <w:rPr>
          <w:rFonts w:ascii="Calibri" w:hAnsi="Calibri" w:cs="Calibri"/>
          <w:lang w:val="en-AU"/>
        </w:rPr>
        <w:t>S</w:t>
      </w:r>
      <w:r w:rsidRPr="00183518">
        <w:rPr>
          <w:rFonts w:ascii="Calibri" w:hAnsi="Calibri" w:cs="Calibri"/>
          <w:lang w:val="en-AU"/>
        </w:rPr>
        <w:t>everity). The bolded section in the following KPI indicates an appropriate way to incorporate harm reduction.</w:t>
      </w:r>
    </w:p>
    <w:p w14:paraId="02A5830D" w14:textId="4145CA12" w:rsidR="00183518" w:rsidRPr="00A75B8D" w:rsidRDefault="00183518" w:rsidP="002216A3">
      <w:pPr>
        <w:pStyle w:val="ListParagraph"/>
        <w:numPr>
          <w:ilvl w:val="0"/>
          <w:numId w:val="7"/>
        </w:numPr>
        <w:rPr>
          <w:rFonts w:ascii="Calibri" w:hAnsi="Calibri" w:cs="Calibri"/>
          <w:lang w:val="en-AU"/>
        </w:rPr>
      </w:pPr>
      <w:r w:rsidRPr="00A75B8D">
        <w:rPr>
          <w:rFonts w:ascii="Calibri" w:hAnsi="Calibri" w:cs="Calibri"/>
          <w:lang w:val="en-AU"/>
        </w:rPr>
        <w:t xml:space="preserve">KPI 3 – AOD </w:t>
      </w:r>
      <w:r w:rsidR="005C68F5">
        <w:rPr>
          <w:rFonts w:ascii="Calibri" w:hAnsi="Calibri" w:cs="Calibri"/>
          <w:lang w:val="en-AU"/>
        </w:rPr>
        <w:t>U</w:t>
      </w:r>
      <w:r w:rsidRPr="00A75B8D">
        <w:rPr>
          <w:rFonts w:ascii="Calibri" w:hAnsi="Calibri" w:cs="Calibri"/>
          <w:lang w:val="en-AU"/>
        </w:rPr>
        <w:t xml:space="preserve">se and </w:t>
      </w:r>
      <w:r w:rsidR="005C68F5">
        <w:rPr>
          <w:rFonts w:ascii="Calibri" w:hAnsi="Calibri" w:cs="Calibri"/>
          <w:lang w:val="en-AU"/>
        </w:rPr>
        <w:t>S</w:t>
      </w:r>
      <w:r w:rsidRPr="00A75B8D">
        <w:rPr>
          <w:rFonts w:ascii="Calibri" w:hAnsi="Calibri" w:cs="Calibri"/>
          <w:lang w:val="en-AU"/>
        </w:rPr>
        <w:t xml:space="preserve">everity: </w:t>
      </w:r>
      <w:r w:rsidR="005C68F5">
        <w:rPr>
          <w:rFonts w:ascii="Calibri" w:hAnsi="Calibri" w:cs="Calibri"/>
          <w:lang w:val="en-AU"/>
        </w:rPr>
        <w:t>‘</w:t>
      </w:r>
      <w:r w:rsidRPr="00A75B8D">
        <w:rPr>
          <w:rFonts w:ascii="Calibri" w:hAnsi="Calibri" w:cs="Calibri"/>
          <w:lang w:val="en-AU"/>
        </w:rPr>
        <w:t xml:space="preserve">Number and proportion of </w:t>
      </w:r>
      <w:r w:rsidRPr="00A75B8D">
        <w:rPr>
          <w:rFonts w:ascii="Calibri" w:hAnsi="Calibri" w:cs="Calibri"/>
          <w:b/>
          <w:lang w:val="en-AU"/>
        </w:rPr>
        <w:t>harm reduction service</w:t>
      </w:r>
      <w:r w:rsidRPr="00A75B8D">
        <w:rPr>
          <w:rFonts w:ascii="Calibri" w:hAnsi="Calibri" w:cs="Calibri"/>
          <w:lang w:val="en-AU"/>
        </w:rPr>
        <w:t xml:space="preserve"> </w:t>
      </w:r>
      <w:r w:rsidRPr="00A75B8D">
        <w:rPr>
          <w:rFonts w:ascii="Calibri" w:hAnsi="Calibri" w:cs="Calibri"/>
          <w:b/>
          <w:lang w:val="en-AU"/>
        </w:rPr>
        <w:t>and treatment</w:t>
      </w:r>
      <w:r w:rsidRPr="00A75B8D">
        <w:rPr>
          <w:rFonts w:ascii="Calibri" w:hAnsi="Calibri" w:cs="Calibri"/>
          <w:lang w:val="en-AU"/>
        </w:rPr>
        <w:t xml:space="preserve"> clients who report a decrease in </w:t>
      </w:r>
      <w:r w:rsidRPr="00A75B8D">
        <w:rPr>
          <w:rFonts w:ascii="Calibri" w:hAnsi="Calibri" w:cs="Calibri"/>
          <w:b/>
          <w:lang w:val="en-AU"/>
        </w:rPr>
        <w:t>risky</w:t>
      </w:r>
      <w:r w:rsidRPr="00A75B8D">
        <w:rPr>
          <w:rFonts w:ascii="Calibri" w:hAnsi="Calibri" w:cs="Calibri"/>
          <w:lang w:val="en-AU"/>
        </w:rPr>
        <w:t xml:space="preserve"> AOD use, by priority group.</w:t>
      </w:r>
      <w:r w:rsidR="005C68F5">
        <w:rPr>
          <w:rFonts w:ascii="Calibri" w:hAnsi="Calibri" w:cs="Calibri"/>
          <w:lang w:val="en-AU"/>
        </w:rPr>
        <w:t>’</w:t>
      </w:r>
    </w:p>
    <w:p w14:paraId="4D072D24" w14:textId="77777777" w:rsidR="000E1E7E" w:rsidRPr="00A75B8D" w:rsidRDefault="000E1E7E" w:rsidP="007C5A6E">
      <w:pPr>
        <w:rPr>
          <w:rFonts w:ascii="Calibri" w:hAnsi="Calibri" w:cs="Calibri"/>
          <w:lang w:val="en-AU"/>
        </w:rPr>
      </w:pPr>
    </w:p>
    <w:p w14:paraId="22A13795" w14:textId="77777777" w:rsidR="00183518" w:rsidRPr="00183518" w:rsidRDefault="00183518" w:rsidP="00183518">
      <w:pPr>
        <w:rPr>
          <w:rFonts w:ascii="Calibri" w:hAnsi="Calibri" w:cs="Calibri"/>
          <w:b/>
          <w:lang w:val="en-AU"/>
        </w:rPr>
      </w:pPr>
      <w:r w:rsidRPr="00183518">
        <w:rPr>
          <w:rFonts w:ascii="Calibri" w:hAnsi="Calibri" w:cs="Calibri"/>
          <w:b/>
          <w:lang w:val="en-AU"/>
        </w:rPr>
        <w:t>System Enablers KPIs</w:t>
      </w:r>
    </w:p>
    <w:p w14:paraId="2D475B0D" w14:textId="2D65EE4E" w:rsidR="004F03BC" w:rsidRPr="00A75B8D" w:rsidRDefault="00183518" w:rsidP="00183518">
      <w:pPr>
        <w:rPr>
          <w:rFonts w:ascii="Calibri" w:hAnsi="Calibri" w:cs="Calibri"/>
          <w:lang w:val="en-AU"/>
        </w:rPr>
      </w:pPr>
      <w:r w:rsidRPr="00183518">
        <w:rPr>
          <w:rFonts w:ascii="Calibri" w:hAnsi="Calibri" w:cs="Calibri"/>
          <w:lang w:val="en-AU"/>
        </w:rPr>
        <w:t>Penington Institute endorses the systems enablers and is gratified to see the attention to workforce, evidence base and coordination. However, the systems enablers would benefit from the following clarifications and additions:</w:t>
      </w:r>
    </w:p>
    <w:p w14:paraId="0B4A31E5" w14:textId="41741B85" w:rsidR="004057FF" w:rsidRPr="00A75B8D" w:rsidRDefault="00183518" w:rsidP="004F03BC">
      <w:pPr>
        <w:pStyle w:val="ListParagraph"/>
        <w:numPr>
          <w:ilvl w:val="0"/>
          <w:numId w:val="7"/>
        </w:numPr>
        <w:rPr>
          <w:rFonts w:ascii="Calibri" w:hAnsi="Calibri" w:cs="Calibri"/>
          <w:lang w:val="en-AU"/>
        </w:rPr>
      </w:pPr>
      <w:r w:rsidRPr="00A75B8D">
        <w:rPr>
          <w:rFonts w:ascii="Calibri" w:hAnsi="Calibri" w:cs="Calibri"/>
          <w:lang w:val="en-AU"/>
        </w:rPr>
        <w:t xml:space="preserve">KPI 4 – Research and </w:t>
      </w:r>
      <w:r w:rsidR="005C68F5">
        <w:rPr>
          <w:rFonts w:ascii="Calibri" w:hAnsi="Calibri" w:cs="Calibri"/>
          <w:lang w:val="en-AU"/>
        </w:rPr>
        <w:t>D</w:t>
      </w:r>
      <w:r w:rsidRPr="00A75B8D">
        <w:rPr>
          <w:rFonts w:ascii="Calibri" w:hAnsi="Calibri" w:cs="Calibri"/>
          <w:lang w:val="en-AU"/>
        </w:rPr>
        <w:t xml:space="preserve">ata </w:t>
      </w:r>
      <w:r w:rsidR="005C68F5">
        <w:rPr>
          <w:rFonts w:ascii="Calibri" w:hAnsi="Calibri" w:cs="Calibri"/>
          <w:lang w:val="en-AU"/>
        </w:rPr>
        <w:t>D</w:t>
      </w:r>
      <w:r w:rsidRPr="00A75B8D">
        <w:rPr>
          <w:rFonts w:ascii="Calibri" w:hAnsi="Calibri" w:cs="Calibri"/>
          <w:lang w:val="en-AU"/>
        </w:rPr>
        <w:t>issemination: Clarify that research translation and dissemination should include not only DAP</w:t>
      </w:r>
      <w:r w:rsidRPr="00A75B8D">
        <w:rPr>
          <w:rFonts w:ascii="Calibri" w:hAnsi="Calibri" w:cs="Calibri"/>
          <w:lang w:val="en-AU"/>
        </w:rPr>
        <w:noBreakHyphen/>
        <w:t>funded primary research but also best</w:t>
      </w:r>
      <w:r w:rsidRPr="00A75B8D">
        <w:rPr>
          <w:rFonts w:ascii="Calibri" w:hAnsi="Calibri" w:cs="Calibri"/>
          <w:lang w:val="en-AU"/>
        </w:rPr>
        <w:noBreakHyphen/>
        <w:t>practice and emerging knowledge from across the Australian and international AOD spaces.</w:t>
      </w:r>
    </w:p>
    <w:p w14:paraId="0DD06E90" w14:textId="7A75373A" w:rsidR="006F2774" w:rsidRPr="00A75B8D" w:rsidRDefault="006F2774" w:rsidP="006F2774">
      <w:pPr>
        <w:pStyle w:val="ListParagraph"/>
        <w:numPr>
          <w:ilvl w:val="1"/>
          <w:numId w:val="7"/>
        </w:numPr>
        <w:rPr>
          <w:rFonts w:ascii="Calibri" w:hAnsi="Calibri" w:cs="Calibri"/>
          <w:lang w:val="en-AU"/>
        </w:rPr>
      </w:pPr>
      <w:r w:rsidRPr="00A75B8D">
        <w:rPr>
          <w:rFonts w:ascii="Calibri" w:hAnsi="Calibri" w:cs="Calibri"/>
          <w:lang w:val="en-AU"/>
        </w:rPr>
        <w:t xml:space="preserve">For example, during most of the period from 2002 to 2022 the Commonwealth Government funded </w:t>
      </w:r>
      <w:r w:rsidRPr="00A75B8D">
        <w:rPr>
          <w:rFonts w:ascii="Calibri" w:hAnsi="Calibri" w:cs="Calibri"/>
          <w:i/>
          <w:lang w:val="en-AU"/>
        </w:rPr>
        <w:t>The Bulletin</w:t>
      </w:r>
      <w:r w:rsidRPr="00A75B8D">
        <w:rPr>
          <w:rFonts w:ascii="Calibri" w:hAnsi="Calibri" w:cs="Calibri"/>
          <w:lang w:val="en-AU"/>
        </w:rPr>
        <w:t xml:space="preserve">, Penington Institute’s specialty publication providing a vast range of insights regarding substances and best practices to frontline workers. Despite receiving effusive praise in an external evaluation from the National Centre for Education and Training on Addiction (NCETA), it has remained on hiatus since funding lapsed at the end of 2022. No equivalent publication replicates </w:t>
      </w:r>
      <w:r w:rsidRPr="00A75B8D">
        <w:rPr>
          <w:rFonts w:ascii="Calibri" w:hAnsi="Calibri" w:cs="Calibri"/>
          <w:i/>
          <w:lang w:val="en-AU"/>
        </w:rPr>
        <w:t>The Bulletin</w:t>
      </w:r>
      <w:r w:rsidRPr="00A75B8D">
        <w:rPr>
          <w:rFonts w:ascii="Calibri" w:hAnsi="Calibri" w:cs="Calibri"/>
          <w:lang w:val="en-AU"/>
        </w:rPr>
        <w:t>’s low</w:t>
      </w:r>
      <w:r w:rsidRPr="00A75B8D">
        <w:rPr>
          <w:rFonts w:ascii="Calibri" w:hAnsi="Calibri" w:cs="Calibri"/>
          <w:lang w:val="en-AU"/>
        </w:rPr>
        <w:noBreakHyphen/>
        <w:t>cost ability to disseminate crucial information about the ever</w:t>
      </w:r>
      <w:r w:rsidRPr="00A75B8D">
        <w:rPr>
          <w:rFonts w:ascii="Calibri" w:hAnsi="Calibri" w:cs="Calibri"/>
          <w:lang w:val="en-AU"/>
        </w:rPr>
        <w:noBreakHyphen/>
        <w:t>evolving drug space, even as workers at NSPs and related services continue to report insufficient knowledge and capacity.</w:t>
      </w:r>
    </w:p>
    <w:p w14:paraId="6BAF4AE4" w14:textId="77777777" w:rsidR="006F2774" w:rsidRPr="00A75B8D" w:rsidRDefault="006F2774" w:rsidP="006F2774">
      <w:pPr>
        <w:pStyle w:val="ListParagraph"/>
        <w:numPr>
          <w:ilvl w:val="0"/>
          <w:numId w:val="7"/>
        </w:numPr>
        <w:rPr>
          <w:rFonts w:ascii="Calibri" w:hAnsi="Calibri" w:cs="Calibri"/>
          <w:lang w:val="en-AU"/>
        </w:rPr>
      </w:pPr>
      <w:r w:rsidRPr="00A75B8D">
        <w:rPr>
          <w:rFonts w:ascii="Calibri" w:hAnsi="Calibri" w:cs="Calibri"/>
          <w:lang w:val="en-AU"/>
        </w:rPr>
        <w:t>KPI 5 – Sector Forums: Clarify what levels (community orgs? State peaks? State/territory and federal agency workers or ministerial staff?) are included in these forums and how they will influence both DAP programs and drug policy more broadly.</w:t>
      </w:r>
    </w:p>
    <w:p w14:paraId="3A67F7A5" w14:textId="77777777" w:rsidR="006F2774" w:rsidRPr="00A75B8D" w:rsidRDefault="006F2774" w:rsidP="006F2774">
      <w:pPr>
        <w:pStyle w:val="ListParagraph"/>
        <w:numPr>
          <w:ilvl w:val="0"/>
          <w:numId w:val="7"/>
        </w:numPr>
        <w:rPr>
          <w:rFonts w:ascii="Calibri" w:hAnsi="Calibri" w:cs="Calibri"/>
          <w:lang w:val="en-AU"/>
        </w:rPr>
      </w:pPr>
      <w:r w:rsidRPr="00A75B8D">
        <w:rPr>
          <w:rFonts w:ascii="Calibri" w:hAnsi="Calibri" w:cs="Calibri"/>
          <w:lang w:val="en-AU"/>
        </w:rPr>
        <w:t>KPI 9 – Collaborations: The KPI should have a client focus, balancing cross</w:t>
      </w:r>
      <w:r w:rsidRPr="00A75B8D">
        <w:rPr>
          <w:rFonts w:ascii="Calibri" w:hAnsi="Calibri" w:cs="Calibri"/>
          <w:lang w:val="en-AU"/>
        </w:rPr>
        <w:noBreakHyphen/>
        <w:t>service collaboration responses with client responses regarding ease and effectiveness of referral pathways across necessary supports. </w:t>
      </w:r>
    </w:p>
    <w:p w14:paraId="4D311AD6" w14:textId="0221B38A" w:rsidR="007C5A6E" w:rsidRPr="00A75B8D" w:rsidRDefault="006F2774" w:rsidP="00CA3526">
      <w:pPr>
        <w:pStyle w:val="ListParagraph"/>
        <w:numPr>
          <w:ilvl w:val="0"/>
          <w:numId w:val="7"/>
        </w:numPr>
        <w:rPr>
          <w:rFonts w:ascii="Calibri" w:hAnsi="Calibri" w:cs="Calibri"/>
          <w:lang w:val="en-AU"/>
        </w:rPr>
      </w:pPr>
      <w:r w:rsidRPr="00A75B8D">
        <w:rPr>
          <w:rFonts w:ascii="Calibri" w:hAnsi="Calibri" w:cs="Calibri"/>
          <w:lang w:val="en-AU"/>
        </w:rPr>
        <w:t xml:space="preserve">KPIs 12/13 – System </w:t>
      </w:r>
      <w:r w:rsidR="005009D7">
        <w:rPr>
          <w:rFonts w:ascii="Calibri" w:hAnsi="Calibri" w:cs="Calibri"/>
          <w:lang w:val="en-AU"/>
        </w:rPr>
        <w:t>I</w:t>
      </w:r>
      <w:r w:rsidRPr="00A75B8D">
        <w:rPr>
          <w:rFonts w:ascii="Calibri" w:hAnsi="Calibri" w:cs="Calibri"/>
          <w:lang w:val="en-AU"/>
        </w:rPr>
        <w:t xml:space="preserve">mprovement / Positive </w:t>
      </w:r>
      <w:r w:rsidR="005009D7">
        <w:rPr>
          <w:rFonts w:ascii="Calibri" w:hAnsi="Calibri" w:cs="Calibri"/>
          <w:lang w:val="en-AU"/>
        </w:rPr>
        <w:t>O</w:t>
      </w:r>
      <w:r w:rsidRPr="00A75B8D">
        <w:rPr>
          <w:rFonts w:ascii="Calibri" w:hAnsi="Calibri" w:cs="Calibri"/>
          <w:lang w:val="en-AU"/>
        </w:rPr>
        <w:t>utcomes: Indicators reliant on reporting by services, peak bodies or associated experts should be complemented by service user</w:t>
      </w:r>
      <w:r w:rsidRPr="00A75B8D">
        <w:rPr>
          <w:rFonts w:ascii="Calibri" w:hAnsi="Calibri" w:cs="Calibri"/>
          <w:lang w:val="en-AU"/>
        </w:rPr>
        <w:noBreakHyphen/>
        <w:t>level indicators directly measuring client sentiment and satisfaction.</w:t>
      </w:r>
    </w:p>
    <w:p w14:paraId="767152EB" w14:textId="77777777" w:rsidR="007C5A6E" w:rsidRPr="00A75B8D" w:rsidRDefault="007C5A6E" w:rsidP="007C5A6E">
      <w:pPr>
        <w:pStyle w:val="ListParagraph"/>
        <w:rPr>
          <w:rFonts w:ascii="Calibri" w:hAnsi="Calibri" w:cs="Calibri"/>
          <w:lang w:val="en-AU"/>
        </w:rPr>
      </w:pPr>
    </w:p>
    <w:p w14:paraId="3C1C62CC" w14:textId="77777777" w:rsidR="00486BD7" w:rsidRDefault="00486BD7" w:rsidP="007C5A6E">
      <w:pPr>
        <w:pStyle w:val="ListParagraph"/>
        <w:rPr>
          <w:rFonts w:ascii="Calibri" w:hAnsi="Calibri" w:cs="Calibri"/>
          <w:lang w:val="en-AU"/>
        </w:rPr>
      </w:pPr>
    </w:p>
    <w:p w14:paraId="2F345BB2" w14:textId="77777777" w:rsidR="00486BD7" w:rsidRPr="00A75B8D" w:rsidRDefault="00486BD7" w:rsidP="007C5A6E">
      <w:pPr>
        <w:pStyle w:val="ListParagraph"/>
        <w:rPr>
          <w:rFonts w:ascii="Calibri" w:hAnsi="Calibri" w:cs="Calibri"/>
          <w:lang w:val="en-AU"/>
        </w:rPr>
      </w:pPr>
    </w:p>
    <w:p w14:paraId="780F3F9D" w14:textId="276E9ACF" w:rsidR="001F69B8" w:rsidRPr="00A75B8D" w:rsidRDefault="001F69B8" w:rsidP="005378ED">
      <w:pPr>
        <w:rPr>
          <w:rFonts w:ascii="Calibri" w:hAnsi="Calibri" w:cs="Calibri"/>
          <w:b/>
        </w:rPr>
      </w:pPr>
      <w:r w:rsidRPr="00A75B8D">
        <w:rPr>
          <w:rFonts w:ascii="Calibri" w:hAnsi="Calibri" w:cs="Calibri"/>
          <w:lang w:val="en-AU"/>
        </w:rPr>
        <w:lastRenderedPageBreak/>
        <w:t xml:space="preserve"> </w:t>
      </w:r>
      <w:r w:rsidR="005378ED" w:rsidRPr="00A75B8D">
        <w:rPr>
          <w:rFonts w:ascii="Calibri" w:hAnsi="Calibri" w:cs="Calibri"/>
          <w:b/>
          <w:lang w:val="en-AU"/>
        </w:rPr>
        <w:t>Framing</w:t>
      </w:r>
      <w:r w:rsidR="000E1E7E" w:rsidRPr="00A75B8D">
        <w:rPr>
          <w:rFonts w:ascii="Calibri" w:hAnsi="Calibri" w:cs="Calibri"/>
          <w:b/>
          <w:lang w:val="en-AU"/>
        </w:rPr>
        <w:t xml:space="preserve"> of Key Performance Indicators </w:t>
      </w:r>
    </w:p>
    <w:p w14:paraId="78C4B1EE" w14:textId="3233E45E" w:rsidR="00CA3526" w:rsidRPr="00A75B8D" w:rsidRDefault="00CA3526" w:rsidP="00CA3526">
      <w:pPr>
        <w:rPr>
          <w:rFonts w:ascii="Calibri" w:hAnsi="Calibri" w:cs="Calibri"/>
        </w:rPr>
      </w:pPr>
      <w:bookmarkStart w:id="3" w:name="_Toc224050049"/>
      <w:r w:rsidRPr="00A75B8D">
        <w:rPr>
          <w:rFonts w:ascii="Calibri" w:hAnsi="Calibri" w:cs="Calibri"/>
        </w:rPr>
        <w:t>One final observation regarding the KPIs relates to the framing of reduced uptake vs harm reduction and safer choices</w:t>
      </w:r>
      <w:bookmarkEnd w:id="3"/>
      <w:r w:rsidRPr="00A75B8D">
        <w:rPr>
          <w:rFonts w:ascii="Calibri" w:hAnsi="Calibri" w:cs="Calibri"/>
        </w:rPr>
        <w:t xml:space="preserve">. Several draft KPIs frame success as reduced uptake or delayed initiation of drug use. While Penington Institute </w:t>
      </w:r>
      <w:proofErr w:type="spellStart"/>
      <w:r w:rsidRPr="00A75B8D">
        <w:rPr>
          <w:rFonts w:ascii="Calibri" w:hAnsi="Calibri" w:cs="Calibri"/>
        </w:rPr>
        <w:t>recognises</w:t>
      </w:r>
      <w:proofErr w:type="spellEnd"/>
      <w:r w:rsidRPr="00A75B8D">
        <w:rPr>
          <w:rFonts w:ascii="Calibri" w:hAnsi="Calibri" w:cs="Calibri"/>
        </w:rPr>
        <w:t xml:space="preserve"> the connection between these goals and reduced harms, they inherently exclude the millions of Australians who already use drugs. A contemporary public health approach should pair prevention aims with harm reduction and safer</w:t>
      </w:r>
      <w:r w:rsidRPr="00A75B8D">
        <w:rPr>
          <w:rFonts w:ascii="Calibri" w:hAnsi="Calibri" w:cs="Calibri"/>
        </w:rPr>
        <w:noBreakHyphen/>
        <w:t>use outcomes. For example, overdose preparedness, naloxone awareness and carriage, safer</w:t>
      </w:r>
      <w:r w:rsidRPr="00A75B8D">
        <w:rPr>
          <w:rFonts w:ascii="Calibri" w:hAnsi="Calibri" w:cs="Calibri"/>
        </w:rPr>
        <w:noBreakHyphen/>
        <w:t>use education, and access to low-threshold services such as drug checking and needle and syringe programs are key outcomes that should be funded and captured in KPIs. These measures complement reduced</w:t>
      </w:r>
      <w:r w:rsidR="00AA4CCC" w:rsidRPr="00A75B8D">
        <w:rPr>
          <w:rFonts w:ascii="Calibri" w:hAnsi="Calibri" w:cs="Calibri"/>
        </w:rPr>
        <w:t xml:space="preserve"> </w:t>
      </w:r>
      <w:r w:rsidRPr="00A75B8D">
        <w:rPr>
          <w:rFonts w:ascii="Calibri" w:hAnsi="Calibri" w:cs="Calibri"/>
        </w:rPr>
        <w:t xml:space="preserve">uptake goals and ensure the KPI suite captures both </w:t>
      </w:r>
      <w:proofErr w:type="spellStart"/>
      <w:r w:rsidRPr="00A75B8D">
        <w:rPr>
          <w:rFonts w:ascii="Calibri" w:hAnsi="Calibri" w:cs="Calibri"/>
        </w:rPr>
        <w:t>behaviour</w:t>
      </w:r>
      <w:proofErr w:type="spellEnd"/>
      <w:r w:rsidRPr="00A75B8D">
        <w:rPr>
          <w:rFonts w:ascii="Calibri" w:hAnsi="Calibri" w:cs="Calibri"/>
        </w:rPr>
        <w:t xml:space="preserve"> change and risk reduction.</w:t>
      </w:r>
    </w:p>
    <w:p w14:paraId="2CEAFD82" w14:textId="77777777" w:rsidR="00CA3526" w:rsidRPr="00A75B8D" w:rsidRDefault="00CA3526" w:rsidP="00CA3526">
      <w:pPr>
        <w:rPr>
          <w:rFonts w:ascii="Calibri" w:hAnsi="Calibri" w:cs="Calibri"/>
          <w:b/>
        </w:rPr>
      </w:pPr>
      <w:r w:rsidRPr="00A75B8D">
        <w:rPr>
          <w:rFonts w:ascii="Calibri" w:hAnsi="Calibri" w:cs="Calibri"/>
          <w:b/>
        </w:rPr>
        <w:t>Recommendations</w:t>
      </w:r>
    </w:p>
    <w:p w14:paraId="4E0C3C6B" w14:textId="77777777" w:rsidR="00CA3526" w:rsidRPr="00A75B8D" w:rsidRDefault="00CA3526" w:rsidP="00CA3526">
      <w:pPr>
        <w:pStyle w:val="ListParagraph"/>
        <w:numPr>
          <w:ilvl w:val="0"/>
          <w:numId w:val="7"/>
        </w:numPr>
        <w:spacing w:line="278" w:lineRule="auto"/>
        <w:rPr>
          <w:rFonts w:ascii="Calibri" w:hAnsi="Calibri" w:cs="Calibri"/>
        </w:rPr>
      </w:pPr>
      <w:r w:rsidRPr="00A75B8D">
        <w:rPr>
          <w:rFonts w:ascii="Calibri" w:hAnsi="Calibri" w:cs="Calibri"/>
        </w:rPr>
        <w:t>Add harm reduction and safer</w:t>
      </w:r>
      <w:r w:rsidRPr="00A75B8D">
        <w:rPr>
          <w:rFonts w:ascii="Calibri" w:hAnsi="Calibri" w:cs="Calibri"/>
        </w:rPr>
        <w:noBreakHyphen/>
        <w:t>use indicators alongside reduced uptake measures to ensure that successful outcomes and KPIs reflect both prevention and real</w:t>
      </w:r>
      <w:r w:rsidRPr="00A75B8D">
        <w:rPr>
          <w:rFonts w:ascii="Calibri" w:hAnsi="Calibri" w:cs="Calibri"/>
        </w:rPr>
        <w:noBreakHyphen/>
        <w:t>world safety.</w:t>
      </w:r>
    </w:p>
    <w:p w14:paraId="4676A6B1" w14:textId="77777777" w:rsidR="00CA3526" w:rsidRPr="00A75B8D" w:rsidRDefault="00CA3526" w:rsidP="00CA3526">
      <w:pPr>
        <w:pStyle w:val="ListParagraph"/>
        <w:numPr>
          <w:ilvl w:val="0"/>
          <w:numId w:val="7"/>
        </w:numPr>
        <w:spacing w:line="278" w:lineRule="auto"/>
        <w:rPr>
          <w:rFonts w:ascii="Calibri" w:hAnsi="Calibri" w:cs="Calibri"/>
        </w:rPr>
      </w:pPr>
      <w:r w:rsidRPr="00A75B8D">
        <w:rPr>
          <w:rFonts w:ascii="Calibri" w:hAnsi="Calibri" w:cs="Calibri"/>
        </w:rPr>
        <w:t>Adopt outcome</w:t>
      </w:r>
      <w:r w:rsidRPr="005841DC">
        <w:rPr>
          <w:rFonts w:ascii="Cambria Math" w:hAnsi="Cambria Math" w:cs="Cambria Math"/>
        </w:rPr>
        <w:t>‑</w:t>
      </w:r>
      <w:r w:rsidRPr="00A75B8D">
        <w:rPr>
          <w:rFonts w:ascii="Calibri" w:hAnsi="Calibri" w:cs="Calibri"/>
        </w:rPr>
        <w:t>focused harm reduction KPIs (consistent within the ‘≤5 per sub</w:t>
      </w:r>
      <w:r w:rsidRPr="005841DC">
        <w:rPr>
          <w:rFonts w:ascii="Cambria Math" w:hAnsi="Cambria Math" w:cs="Cambria Math"/>
        </w:rPr>
        <w:t>‑</w:t>
      </w:r>
      <w:r w:rsidRPr="00A75B8D">
        <w:rPr>
          <w:rFonts w:ascii="Calibri" w:hAnsi="Calibri" w:cs="Calibri"/>
        </w:rPr>
        <w:t>program’ cap).</w:t>
      </w:r>
    </w:p>
    <w:p w14:paraId="50E5BBA0" w14:textId="77777777" w:rsidR="00CA3526" w:rsidRPr="00A75B8D" w:rsidRDefault="00CA3526" w:rsidP="00CA3526">
      <w:pPr>
        <w:pStyle w:val="ListParagraph"/>
        <w:numPr>
          <w:ilvl w:val="1"/>
          <w:numId w:val="7"/>
        </w:numPr>
        <w:spacing w:line="278" w:lineRule="auto"/>
        <w:rPr>
          <w:rFonts w:ascii="Calibri" w:hAnsi="Calibri" w:cs="Calibri"/>
        </w:rPr>
      </w:pPr>
      <w:proofErr w:type="spellStart"/>
      <w:r w:rsidRPr="00A75B8D">
        <w:rPr>
          <w:rFonts w:ascii="Calibri" w:hAnsi="Calibri" w:cs="Calibri"/>
        </w:rPr>
        <w:t>Prioritise</w:t>
      </w:r>
      <w:proofErr w:type="spellEnd"/>
      <w:r w:rsidRPr="00A75B8D">
        <w:rPr>
          <w:rFonts w:ascii="Calibri" w:hAnsi="Calibri" w:cs="Calibri"/>
        </w:rPr>
        <w:t xml:space="preserve"> indicators that focus on harms reduced rather the service activity generated, such as:</w:t>
      </w:r>
    </w:p>
    <w:p w14:paraId="185BD579" w14:textId="7EB20F60" w:rsidR="00CA3526" w:rsidRPr="00A75B8D" w:rsidRDefault="00CA3526" w:rsidP="00CA3526">
      <w:pPr>
        <w:pStyle w:val="ListParagraph"/>
        <w:numPr>
          <w:ilvl w:val="3"/>
          <w:numId w:val="1"/>
        </w:numPr>
        <w:spacing w:line="278" w:lineRule="auto"/>
        <w:rPr>
          <w:rFonts w:ascii="Calibri" w:hAnsi="Calibri" w:cs="Calibri"/>
        </w:rPr>
      </w:pPr>
      <w:r w:rsidRPr="00A75B8D">
        <w:rPr>
          <w:rFonts w:ascii="Calibri" w:hAnsi="Calibri" w:cs="Calibri"/>
        </w:rPr>
        <w:t xml:space="preserve">Overdoses prevented/overdose reversals reported (with naloxone distribution and training) </w:t>
      </w:r>
    </w:p>
    <w:p w14:paraId="16194F76" w14:textId="77777777" w:rsidR="00CA3526" w:rsidRPr="00A75B8D" w:rsidRDefault="00CA3526" w:rsidP="00CA3526">
      <w:pPr>
        <w:pStyle w:val="ListParagraph"/>
        <w:numPr>
          <w:ilvl w:val="3"/>
          <w:numId w:val="1"/>
        </w:numPr>
        <w:spacing w:line="278" w:lineRule="auto"/>
        <w:rPr>
          <w:rFonts w:ascii="Calibri" w:hAnsi="Calibri" w:cs="Calibri"/>
        </w:rPr>
      </w:pPr>
      <w:r w:rsidRPr="00A75B8D">
        <w:rPr>
          <w:rFonts w:ascii="Calibri" w:hAnsi="Calibri" w:cs="Calibri"/>
        </w:rPr>
        <w:t xml:space="preserve">Reduced equipment sharing </w:t>
      </w:r>
    </w:p>
    <w:p w14:paraId="640A26CD" w14:textId="6E9DA6F4" w:rsidR="00CA3526" w:rsidRPr="00A75B8D" w:rsidRDefault="00CA3526" w:rsidP="00CA3526">
      <w:pPr>
        <w:pStyle w:val="ListParagraph"/>
        <w:numPr>
          <w:ilvl w:val="3"/>
          <w:numId w:val="1"/>
        </w:numPr>
        <w:spacing w:line="278" w:lineRule="auto"/>
        <w:rPr>
          <w:rFonts w:ascii="Calibri" w:hAnsi="Calibri" w:cs="Calibri"/>
        </w:rPr>
      </w:pPr>
      <w:r w:rsidRPr="00A75B8D">
        <w:rPr>
          <w:rFonts w:ascii="Calibri" w:hAnsi="Calibri" w:cs="Calibri"/>
        </w:rPr>
        <w:t>Reinforcement of safer</w:t>
      </w:r>
      <w:r w:rsidRPr="005841DC">
        <w:rPr>
          <w:rFonts w:ascii="Cambria Math" w:hAnsi="Cambria Math" w:cs="Cambria Math"/>
        </w:rPr>
        <w:t>‑</w:t>
      </w:r>
      <w:r w:rsidRPr="00A75B8D">
        <w:rPr>
          <w:rFonts w:ascii="Calibri" w:hAnsi="Calibri" w:cs="Calibri"/>
        </w:rPr>
        <w:t>use supports at exit from institutional touchpoints (e.g., naloxone provided, referral to harm reduction/</w:t>
      </w:r>
      <w:r w:rsidR="008D1D12">
        <w:rPr>
          <w:rFonts w:ascii="Calibri" w:hAnsi="Calibri" w:cs="Calibri"/>
        </w:rPr>
        <w:t>blood-borne</w:t>
      </w:r>
      <w:r w:rsidR="007E67FF">
        <w:rPr>
          <w:rFonts w:ascii="Calibri" w:hAnsi="Calibri" w:cs="Calibri"/>
        </w:rPr>
        <w:t xml:space="preserve"> virus </w:t>
      </w:r>
      <w:r w:rsidR="00480B32">
        <w:rPr>
          <w:rFonts w:ascii="Calibri" w:hAnsi="Calibri" w:cs="Calibri"/>
        </w:rPr>
        <w:t>treatment</w:t>
      </w:r>
      <w:r w:rsidRPr="00A75B8D">
        <w:rPr>
          <w:rFonts w:ascii="Calibri" w:hAnsi="Calibri" w:cs="Calibri"/>
        </w:rPr>
        <w:t xml:space="preserve"> services)</w:t>
      </w:r>
    </w:p>
    <w:p w14:paraId="1A66FF47" w14:textId="77777777" w:rsidR="000075D2" w:rsidRPr="005841DC" w:rsidRDefault="000075D2" w:rsidP="000075D2">
      <w:pPr>
        <w:spacing w:line="278" w:lineRule="auto"/>
        <w:rPr>
          <w:rFonts w:asciiTheme="majorHAnsi" w:hAnsiTheme="majorHAnsi"/>
        </w:rPr>
      </w:pPr>
    </w:p>
    <w:p w14:paraId="747F6481" w14:textId="77777777" w:rsidR="00CA3526" w:rsidRDefault="00CA3526" w:rsidP="00CA3526">
      <w:pPr>
        <w:rPr>
          <w:lang w:val="en-AU"/>
        </w:rPr>
      </w:pPr>
    </w:p>
    <w:p w14:paraId="7DCE1074" w14:textId="3F05E88B" w:rsidR="00CA3526" w:rsidRPr="00C8210C" w:rsidRDefault="00CA3526" w:rsidP="00AA4CCC">
      <w:pPr>
        <w:rPr>
          <w:b/>
          <w:bCs/>
        </w:rPr>
      </w:pPr>
      <w:r w:rsidRPr="00500EF9">
        <w:rPr>
          <w:lang w:val="en-AU"/>
        </w:rPr>
        <w:br/>
      </w:r>
    </w:p>
    <w:p w14:paraId="61552760" w14:textId="77777777" w:rsidR="00E32145" w:rsidRDefault="00E32145"/>
    <w:sectPr w:rsidR="00E32145" w:rsidSect="00CA352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99E59" w14:textId="77777777" w:rsidR="00AC4D5B" w:rsidRDefault="00AC4D5B" w:rsidP="00CA3526">
      <w:pPr>
        <w:spacing w:after="0" w:line="240" w:lineRule="auto"/>
      </w:pPr>
      <w:r>
        <w:separator/>
      </w:r>
    </w:p>
  </w:endnote>
  <w:endnote w:type="continuationSeparator" w:id="0">
    <w:p w14:paraId="0F632902" w14:textId="77777777" w:rsidR="00AC4D5B" w:rsidRDefault="00AC4D5B" w:rsidP="00CA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T Sans">
    <w:altName w:val="Arial"/>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894593"/>
      <w:docPartObj>
        <w:docPartGallery w:val="Page Numbers (Bottom of Page)"/>
        <w:docPartUnique/>
      </w:docPartObj>
    </w:sdtPr>
    <w:sdtEndPr>
      <w:rPr>
        <w:noProof/>
      </w:rPr>
    </w:sdtEndPr>
    <w:sdtContent>
      <w:p w14:paraId="6118E27B" w14:textId="73C95157" w:rsidR="009A1F6E" w:rsidRDefault="009A1F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10D206" w14:textId="77777777" w:rsidR="00B71F8A" w:rsidRDefault="00B71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15FD0" w14:textId="77777777" w:rsidR="00AC4D5B" w:rsidRDefault="00AC4D5B" w:rsidP="00CA3526">
      <w:pPr>
        <w:spacing w:after="0" w:line="240" w:lineRule="auto"/>
      </w:pPr>
      <w:r>
        <w:separator/>
      </w:r>
    </w:p>
  </w:footnote>
  <w:footnote w:type="continuationSeparator" w:id="0">
    <w:p w14:paraId="73917A4E" w14:textId="77777777" w:rsidR="00AC4D5B" w:rsidRDefault="00AC4D5B" w:rsidP="00CA3526">
      <w:pPr>
        <w:spacing w:after="0" w:line="240" w:lineRule="auto"/>
      </w:pPr>
      <w:r>
        <w:continuationSeparator/>
      </w:r>
    </w:p>
  </w:footnote>
  <w:footnote w:id="1">
    <w:p w14:paraId="530A103E" w14:textId="4986AA4E" w:rsidR="00DD360E" w:rsidRDefault="00DD360E">
      <w:pPr>
        <w:pStyle w:val="FootnoteText"/>
      </w:pPr>
      <w:r>
        <w:rPr>
          <w:rStyle w:val="FootnoteReference"/>
        </w:rPr>
        <w:footnoteRef/>
      </w:r>
      <w:r>
        <w:t xml:space="preserve"> </w:t>
      </w:r>
      <w:r w:rsidR="00251BC5" w:rsidRPr="00560DAF">
        <w:rPr>
          <w:lang w:val="en-US"/>
        </w:rPr>
        <w:t xml:space="preserve">Australian Institute of Health and Welfare. </w:t>
      </w:r>
      <w:r w:rsidR="00560DAF" w:rsidRPr="00560DAF">
        <w:rPr>
          <w:lang w:val="en-US"/>
        </w:rPr>
        <w:t>202</w:t>
      </w:r>
      <w:r w:rsidR="00D328A1">
        <w:rPr>
          <w:lang w:val="en-US"/>
        </w:rPr>
        <w:t>3</w:t>
      </w:r>
      <w:r w:rsidR="00560DAF" w:rsidRPr="00560DAF">
        <w:rPr>
          <w:lang w:val="en-US"/>
        </w:rPr>
        <w:t xml:space="preserve">. </w:t>
      </w:r>
      <w:hyperlink r:id="rId1" w:history="1">
        <w:r w:rsidR="00560DAF" w:rsidRPr="00495C89">
          <w:rPr>
            <w:rStyle w:val="Hyperlink"/>
            <w:lang w:val="en-US"/>
          </w:rPr>
          <w:t>National Drug Strategy Household Survey 2022- 2023</w:t>
        </w:r>
      </w:hyperlink>
      <w:r w:rsidR="00560DAF" w:rsidRPr="00560DAF">
        <w:rPr>
          <w:lang w:val="en-US"/>
        </w:rPr>
        <w:t>. Canberra: AIHW</w:t>
      </w:r>
      <w:r w:rsidR="00560DAF">
        <w:rPr>
          <w:lang w:val="en-US"/>
        </w:rPr>
        <w:t>.</w:t>
      </w:r>
    </w:p>
  </w:footnote>
  <w:footnote w:id="2">
    <w:p w14:paraId="2E550077" w14:textId="31043EB2" w:rsidR="00816EB4" w:rsidRDefault="00816EB4">
      <w:pPr>
        <w:pStyle w:val="FootnoteText"/>
      </w:pPr>
      <w:r>
        <w:rPr>
          <w:rStyle w:val="FootnoteReference"/>
        </w:rPr>
        <w:footnoteRef/>
      </w:r>
      <w:r>
        <w:t xml:space="preserve"> </w:t>
      </w:r>
      <w:r w:rsidR="002024BD" w:rsidRPr="00464E01">
        <w:t xml:space="preserve">Commonwealth of Australia </w:t>
      </w:r>
      <w:r w:rsidR="000711B7">
        <w:t>(</w:t>
      </w:r>
      <w:r w:rsidR="002024BD" w:rsidRPr="00464E01">
        <w:t>Department of Health</w:t>
      </w:r>
      <w:r w:rsidR="000711B7">
        <w:t>)</w:t>
      </w:r>
      <w:r w:rsidR="002024BD" w:rsidRPr="00464E01">
        <w:t xml:space="preserve">. 2017. </w:t>
      </w:r>
      <w:hyperlink r:id="rId2" w:history="1">
        <w:r w:rsidR="002024BD" w:rsidRPr="00B9040E">
          <w:rPr>
            <w:rStyle w:val="Hyperlink"/>
            <w:i/>
            <w:iCs/>
          </w:rPr>
          <w:t>National Drug Strategy 2017–2026</w:t>
        </w:r>
      </w:hyperlink>
      <w:r w:rsidR="002024BD" w:rsidRPr="00464E01">
        <w:t xml:space="preserve">. </w:t>
      </w:r>
      <w:r w:rsidR="000711B7">
        <w:t>Canberra</w:t>
      </w:r>
      <w:r w:rsidR="00DB35C6">
        <w:t>:</w:t>
      </w:r>
      <w:r w:rsidR="00844867">
        <w:t xml:space="preserve"> Commonwealth of Australia.</w:t>
      </w:r>
    </w:p>
  </w:footnote>
  <w:footnote w:id="3">
    <w:p w14:paraId="67056D3C" w14:textId="32DFCC0D" w:rsidR="00816EB4" w:rsidRDefault="00816EB4">
      <w:pPr>
        <w:pStyle w:val="FootnoteText"/>
      </w:pPr>
      <w:r>
        <w:rPr>
          <w:rStyle w:val="FootnoteReference"/>
        </w:rPr>
        <w:footnoteRef/>
      </w:r>
      <w:r>
        <w:t xml:space="preserve"> </w:t>
      </w:r>
      <w:r w:rsidR="00EC042A" w:rsidRPr="004F3E5B">
        <w:t xml:space="preserve">KPMG. 2025. </w:t>
      </w:r>
      <w:hyperlink r:id="rId3" w:history="1">
        <w:r w:rsidR="00EC042A" w:rsidRPr="00FA32C4">
          <w:rPr>
            <w:rStyle w:val="Hyperlink"/>
          </w:rPr>
          <w:t>Drug and Alcohol Program Final Evaluation Report</w:t>
        </w:r>
      </w:hyperlink>
      <w:r w:rsidR="00EC042A" w:rsidRPr="004F3E5B">
        <w:t xml:space="preserve">. </w:t>
      </w:r>
      <w:r w:rsidR="002128C1">
        <w:t xml:space="preserve">Canberra: </w:t>
      </w:r>
      <w:r w:rsidR="00EC042A" w:rsidRPr="004F3E5B">
        <w:t>Australian Government Department of Health and Aged Care.</w:t>
      </w:r>
      <w:r w:rsidR="00EC042A">
        <w:t xml:space="preserve"> </w:t>
      </w:r>
    </w:p>
  </w:footnote>
  <w:footnote w:id="4">
    <w:p w14:paraId="2B14244A" w14:textId="7E12B107" w:rsidR="00CE5C93" w:rsidRDefault="00CE5C93">
      <w:pPr>
        <w:pStyle w:val="FootnoteText"/>
      </w:pPr>
      <w:r>
        <w:rPr>
          <w:rStyle w:val="FootnoteReference"/>
        </w:rPr>
        <w:footnoteRef/>
      </w:r>
      <w:r w:rsidR="004E0D73">
        <w:t xml:space="preserve"> </w:t>
      </w:r>
      <w:r w:rsidR="00917DDD" w:rsidRPr="004F3E5B">
        <w:t xml:space="preserve">KPMG. 2025. </w:t>
      </w:r>
      <w:hyperlink r:id="rId4" w:history="1">
        <w:r w:rsidR="00917DDD" w:rsidRPr="00FA32C4">
          <w:rPr>
            <w:rStyle w:val="Hyperlink"/>
          </w:rPr>
          <w:t>Drug and Alcohol Program Final Evaluation Report</w:t>
        </w:r>
      </w:hyperlink>
      <w:r w:rsidR="00681EAF" w:rsidRPr="004F3E5B">
        <w:t>.</w:t>
      </w:r>
      <w:r w:rsidR="00917DDD" w:rsidRPr="004F3E5B">
        <w:t xml:space="preserve"> </w:t>
      </w:r>
      <w:r w:rsidR="00681EAF">
        <w:t xml:space="preserve">Canberra: </w:t>
      </w:r>
      <w:r w:rsidR="00917DDD" w:rsidRPr="004F3E5B">
        <w:t>Australian Government Department of Health and Aged Care.</w:t>
      </w:r>
      <w:r w:rsidR="00681EAF">
        <w:t xml:space="preserve"> </w:t>
      </w:r>
      <w:r>
        <w:t xml:space="preserve"> </w:t>
      </w:r>
    </w:p>
  </w:footnote>
  <w:footnote w:id="5">
    <w:p w14:paraId="1DCE359E" w14:textId="51D051CB" w:rsidR="0045253C" w:rsidRDefault="0045253C">
      <w:pPr>
        <w:pStyle w:val="FootnoteText"/>
      </w:pPr>
      <w:r>
        <w:rPr>
          <w:rStyle w:val="FootnoteReference"/>
        </w:rPr>
        <w:footnoteRef/>
      </w:r>
      <w:r>
        <w:t xml:space="preserve"> </w:t>
      </w:r>
      <w:r w:rsidR="002024BD" w:rsidRPr="00464E01">
        <w:t>Commonwealth of Australia</w:t>
      </w:r>
      <w:r w:rsidR="009912B3" w:rsidRPr="00464E01">
        <w:t xml:space="preserve"> </w:t>
      </w:r>
      <w:r w:rsidR="009912B3">
        <w:t>(</w:t>
      </w:r>
      <w:r w:rsidR="002024BD" w:rsidRPr="00464E01">
        <w:t>Department of Health</w:t>
      </w:r>
      <w:r w:rsidR="009912B3">
        <w:t>)</w:t>
      </w:r>
      <w:r w:rsidR="009912B3" w:rsidRPr="00464E01">
        <w:t>.</w:t>
      </w:r>
      <w:r w:rsidR="002024BD" w:rsidRPr="00464E01">
        <w:t xml:space="preserve"> 2017. </w:t>
      </w:r>
      <w:hyperlink r:id="rId5" w:history="1">
        <w:r w:rsidR="002024BD" w:rsidRPr="00B9040E">
          <w:rPr>
            <w:rStyle w:val="Hyperlink"/>
            <w:i/>
            <w:iCs/>
          </w:rPr>
          <w:t>National Drug Strategy 2017–2026</w:t>
        </w:r>
      </w:hyperlink>
      <w:r w:rsidR="009912B3" w:rsidRPr="00464E01">
        <w:t>.</w:t>
      </w:r>
      <w:r w:rsidR="002024BD" w:rsidRPr="00464E01">
        <w:t xml:space="preserve"> </w:t>
      </w:r>
      <w:r w:rsidR="009912B3">
        <w:t>Canberra: Commonwealth of Australia.</w:t>
      </w:r>
    </w:p>
  </w:footnote>
  <w:footnote w:id="6">
    <w:p w14:paraId="1DCD838E" w14:textId="1B45A429" w:rsidR="00CD4C35" w:rsidRDefault="00CD4C35">
      <w:pPr>
        <w:pStyle w:val="FootnoteText"/>
      </w:pPr>
      <w:r>
        <w:rPr>
          <w:rStyle w:val="FootnoteReference"/>
        </w:rPr>
        <w:footnoteRef/>
      </w:r>
      <w:r>
        <w:t xml:space="preserve"> </w:t>
      </w:r>
      <w:proofErr w:type="spellStart"/>
      <w:r w:rsidR="00122239" w:rsidRPr="00122239">
        <w:t>Wiessing</w:t>
      </w:r>
      <w:proofErr w:type="spellEnd"/>
      <w:r w:rsidR="00122239" w:rsidRPr="00122239">
        <w:t xml:space="preserve">, Lucas, Marica Ferri, Vendula </w:t>
      </w:r>
      <w:proofErr w:type="spellStart"/>
      <w:r w:rsidR="00122239" w:rsidRPr="00122239">
        <w:t>Běláčková</w:t>
      </w:r>
      <w:proofErr w:type="spellEnd"/>
      <w:r w:rsidR="00122239" w:rsidRPr="00122239">
        <w:t>, et al. 2017. “</w:t>
      </w:r>
      <w:hyperlink r:id="rId6" w:history="1">
        <w:r w:rsidR="00122239" w:rsidRPr="00612A72">
          <w:rPr>
            <w:rStyle w:val="Hyperlink"/>
          </w:rPr>
          <w:t>Monitoring Quality and C</w:t>
        </w:r>
        <w:bookmarkStart w:id="1" w:name="_Hlt224807723"/>
        <w:bookmarkStart w:id="2" w:name="_Hlt224807724"/>
        <w:r w:rsidR="00122239" w:rsidRPr="00612A72">
          <w:rPr>
            <w:rStyle w:val="Hyperlink"/>
          </w:rPr>
          <w:t>o</w:t>
        </w:r>
        <w:bookmarkEnd w:id="1"/>
        <w:bookmarkEnd w:id="2"/>
        <w:r w:rsidR="00122239" w:rsidRPr="00612A72">
          <w:rPr>
            <w:rStyle w:val="Hyperlink"/>
          </w:rPr>
          <w:t>verage of Harm Reduction Services for People Who Use Drugs: A Consensus Study</w:t>
        </w:r>
      </w:hyperlink>
      <w:r w:rsidR="00122239" w:rsidRPr="00122239">
        <w:t xml:space="preserve">.” </w:t>
      </w:r>
      <w:r w:rsidR="00122239" w:rsidRPr="001D17A6">
        <w:rPr>
          <w:i/>
        </w:rPr>
        <w:t>Harm Reduction Journal</w:t>
      </w:r>
      <w:r w:rsidR="001D17A6" w:rsidRPr="001D17A6">
        <w:rPr>
          <w:i/>
          <w:iCs/>
        </w:rPr>
        <w:t xml:space="preserve"> </w:t>
      </w:r>
      <w:r w:rsidR="001D17A6" w:rsidRPr="00B2775A">
        <w:t>14 (9)</w:t>
      </w:r>
      <w:r w:rsidR="00122239" w:rsidRPr="00B2775A">
        <w:t>.</w:t>
      </w:r>
    </w:p>
  </w:footnote>
  <w:footnote w:id="7">
    <w:p w14:paraId="0C3C9ED8" w14:textId="0F5A4BF0" w:rsidR="00BF1F6C" w:rsidRDefault="00BF1F6C" w:rsidP="00BF1F6C">
      <w:pPr>
        <w:pStyle w:val="FootnoteText"/>
      </w:pPr>
      <w:r>
        <w:rPr>
          <w:rStyle w:val="FootnoteReference"/>
        </w:rPr>
        <w:footnoteRef/>
      </w:r>
      <w:r>
        <w:t xml:space="preserve"> </w:t>
      </w:r>
      <w:r w:rsidRPr="00D564A1">
        <w:t>Mammoliti,</w:t>
      </w:r>
      <w:r>
        <w:t xml:space="preserve"> </w:t>
      </w:r>
      <w:r w:rsidRPr="00D564A1">
        <w:t>Emmanuel</w:t>
      </w:r>
      <w:r>
        <w:t>,</w:t>
      </w:r>
      <w:r w:rsidRPr="00D564A1">
        <w:t xml:space="preserve"> Suzanne Nielsen and Amanda Roxburgh. 2025. “</w:t>
      </w:r>
      <w:hyperlink r:id="rId7" w:history="1">
        <w:r w:rsidRPr="00D564A1">
          <w:rPr>
            <w:rStyle w:val="Hyperlink"/>
          </w:rPr>
          <w:t>A Scoping Review of the Emergence of Novel Synthetic Opioids in Australian Drug Markets: What Does This Mean for Harm Reduction Responses?</w:t>
        </w:r>
      </w:hyperlink>
      <w:r w:rsidRPr="00D564A1">
        <w:t xml:space="preserve">” </w:t>
      </w:r>
      <w:r w:rsidRPr="00D564A1">
        <w:rPr>
          <w:i/>
          <w:iCs/>
        </w:rPr>
        <w:t>Drug and Alcohol Review</w:t>
      </w:r>
      <w:r w:rsidRPr="00D564A1">
        <w:t xml:space="preserve"> 45(1)</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EA9"/>
    <w:multiLevelType w:val="hybridMultilevel"/>
    <w:tmpl w:val="124421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66D5A"/>
    <w:multiLevelType w:val="hybridMultilevel"/>
    <w:tmpl w:val="E13686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1E61A1"/>
    <w:multiLevelType w:val="hybridMultilevel"/>
    <w:tmpl w:val="06761B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CD4594"/>
    <w:multiLevelType w:val="multilevel"/>
    <w:tmpl w:val="F32458D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250"/>
      <w:numFmt w:val="bullet"/>
      <w:lvlText w:val="•"/>
      <w:lvlJc w:val="left"/>
      <w:pPr>
        <w:ind w:left="3240" w:hanging="360"/>
      </w:pPr>
      <w:rPr>
        <w:rFonts w:ascii="Aptos" w:eastAsiaTheme="minorHAnsi" w:hAnsi="Aptos" w:cstheme="minorBidi" w:hint="default"/>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EB2644C"/>
    <w:multiLevelType w:val="hybridMultilevel"/>
    <w:tmpl w:val="222E8DC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186F98"/>
    <w:multiLevelType w:val="multilevel"/>
    <w:tmpl w:val="90686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250"/>
      <w:numFmt w:val="bullet"/>
      <w:lvlText w:val="•"/>
      <w:lvlJc w:val="left"/>
      <w:pPr>
        <w:ind w:left="3600" w:hanging="360"/>
      </w:pPr>
      <w:rPr>
        <w:rFonts w:ascii="Aptos" w:eastAsiaTheme="minorHAnsi" w:hAnsi="Apto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D363C"/>
    <w:multiLevelType w:val="hybridMultilevel"/>
    <w:tmpl w:val="D6564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C7725F3"/>
    <w:multiLevelType w:val="hybridMultilevel"/>
    <w:tmpl w:val="100AAC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8739514">
    <w:abstractNumId w:val="5"/>
  </w:num>
  <w:num w:numId="2" w16cid:durableId="308898900">
    <w:abstractNumId w:val="3"/>
  </w:num>
  <w:num w:numId="3" w16cid:durableId="1068528163">
    <w:abstractNumId w:val="0"/>
  </w:num>
  <w:num w:numId="4" w16cid:durableId="1170022127">
    <w:abstractNumId w:val="7"/>
  </w:num>
  <w:num w:numId="5" w16cid:durableId="947391316">
    <w:abstractNumId w:val="6"/>
  </w:num>
  <w:num w:numId="6" w16cid:durableId="908270937">
    <w:abstractNumId w:val="1"/>
  </w:num>
  <w:num w:numId="7" w16cid:durableId="1767069278">
    <w:abstractNumId w:val="2"/>
  </w:num>
  <w:num w:numId="8" w16cid:durableId="6382217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7C"/>
    <w:rsid w:val="00005170"/>
    <w:rsid w:val="00005FAF"/>
    <w:rsid w:val="000075D2"/>
    <w:rsid w:val="00012E03"/>
    <w:rsid w:val="000141BF"/>
    <w:rsid w:val="0001443C"/>
    <w:rsid w:val="0003030A"/>
    <w:rsid w:val="00036B68"/>
    <w:rsid w:val="00037374"/>
    <w:rsid w:val="0005073D"/>
    <w:rsid w:val="000565FA"/>
    <w:rsid w:val="0006123B"/>
    <w:rsid w:val="0006613B"/>
    <w:rsid w:val="0006709D"/>
    <w:rsid w:val="00067AC7"/>
    <w:rsid w:val="000711B7"/>
    <w:rsid w:val="00081305"/>
    <w:rsid w:val="0008794E"/>
    <w:rsid w:val="000B6D47"/>
    <w:rsid w:val="000C50AF"/>
    <w:rsid w:val="000C694C"/>
    <w:rsid w:val="000C73C7"/>
    <w:rsid w:val="000E1E7E"/>
    <w:rsid w:val="000F6C24"/>
    <w:rsid w:val="0010040E"/>
    <w:rsid w:val="00116875"/>
    <w:rsid w:val="00122239"/>
    <w:rsid w:val="00135C5B"/>
    <w:rsid w:val="001370FD"/>
    <w:rsid w:val="00156AB6"/>
    <w:rsid w:val="00183518"/>
    <w:rsid w:val="001A58D2"/>
    <w:rsid w:val="001B0368"/>
    <w:rsid w:val="001D1466"/>
    <w:rsid w:val="001D17A6"/>
    <w:rsid w:val="001D41B0"/>
    <w:rsid w:val="001D6AB5"/>
    <w:rsid w:val="001F49C5"/>
    <w:rsid w:val="001F69B8"/>
    <w:rsid w:val="001F6E80"/>
    <w:rsid w:val="002024BD"/>
    <w:rsid w:val="00203714"/>
    <w:rsid w:val="00205913"/>
    <w:rsid w:val="002128C1"/>
    <w:rsid w:val="002216A3"/>
    <w:rsid w:val="00233C01"/>
    <w:rsid w:val="0023476E"/>
    <w:rsid w:val="00251978"/>
    <w:rsid w:val="00251BC5"/>
    <w:rsid w:val="002713BD"/>
    <w:rsid w:val="00281BD6"/>
    <w:rsid w:val="002825C1"/>
    <w:rsid w:val="00283871"/>
    <w:rsid w:val="0029026E"/>
    <w:rsid w:val="002A15F5"/>
    <w:rsid w:val="002A16E9"/>
    <w:rsid w:val="002A4C74"/>
    <w:rsid w:val="002A51A5"/>
    <w:rsid w:val="002B745A"/>
    <w:rsid w:val="002B79C1"/>
    <w:rsid w:val="002F3257"/>
    <w:rsid w:val="00303A37"/>
    <w:rsid w:val="00310E30"/>
    <w:rsid w:val="003264A3"/>
    <w:rsid w:val="003317F7"/>
    <w:rsid w:val="00346A4F"/>
    <w:rsid w:val="0036504A"/>
    <w:rsid w:val="003806A7"/>
    <w:rsid w:val="0039671E"/>
    <w:rsid w:val="003A6021"/>
    <w:rsid w:val="003C6580"/>
    <w:rsid w:val="003F1035"/>
    <w:rsid w:val="003F1733"/>
    <w:rsid w:val="003F2093"/>
    <w:rsid w:val="003F5C33"/>
    <w:rsid w:val="004057FF"/>
    <w:rsid w:val="00442D67"/>
    <w:rsid w:val="00447284"/>
    <w:rsid w:val="0045253C"/>
    <w:rsid w:val="00453571"/>
    <w:rsid w:val="0046384E"/>
    <w:rsid w:val="00463D66"/>
    <w:rsid w:val="004747C0"/>
    <w:rsid w:val="00480B32"/>
    <w:rsid w:val="00486BD7"/>
    <w:rsid w:val="00493C97"/>
    <w:rsid w:val="0049416A"/>
    <w:rsid w:val="00495C89"/>
    <w:rsid w:val="00496A9C"/>
    <w:rsid w:val="004A07ED"/>
    <w:rsid w:val="004A7A11"/>
    <w:rsid w:val="004D0122"/>
    <w:rsid w:val="004D1305"/>
    <w:rsid w:val="004E0D73"/>
    <w:rsid w:val="004E5DA8"/>
    <w:rsid w:val="004F03BC"/>
    <w:rsid w:val="004F4FD1"/>
    <w:rsid w:val="005009D7"/>
    <w:rsid w:val="005025D2"/>
    <w:rsid w:val="00503E76"/>
    <w:rsid w:val="00506484"/>
    <w:rsid w:val="00510191"/>
    <w:rsid w:val="0051118F"/>
    <w:rsid w:val="005355E9"/>
    <w:rsid w:val="00536F3C"/>
    <w:rsid w:val="005378ED"/>
    <w:rsid w:val="00545AD8"/>
    <w:rsid w:val="005557AD"/>
    <w:rsid w:val="00560DAF"/>
    <w:rsid w:val="00562AC3"/>
    <w:rsid w:val="005662CE"/>
    <w:rsid w:val="005775D8"/>
    <w:rsid w:val="005841DC"/>
    <w:rsid w:val="005A7D42"/>
    <w:rsid w:val="005C0511"/>
    <w:rsid w:val="005C68F5"/>
    <w:rsid w:val="005D0731"/>
    <w:rsid w:val="005E23F4"/>
    <w:rsid w:val="005F0099"/>
    <w:rsid w:val="00612A72"/>
    <w:rsid w:val="00622CE8"/>
    <w:rsid w:val="00632580"/>
    <w:rsid w:val="00642022"/>
    <w:rsid w:val="00647024"/>
    <w:rsid w:val="006526AA"/>
    <w:rsid w:val="00653A21"/>
    <w:rsid w:val="00663584"/>
    <w:rsid w:val="00667D58"/>
    <w:rsid w:val="00672646"/>
    <w:rsid w:val="00676783"/>
    <w:rsid w:val="006818F9"/>
    <w:rsid w:val="00681EAF"/>
    <w:rsid w:val="006924DB"/>
    <w:rsid w:val="006A3698"/>
    <w:rsid w:val="006A6283"/>
    <w:rsid w:val="006E5530"/>
    <w:rsid w:val="006F2774"/>
    <w:rsid w:val="006F35AC"/>
    <w:rsid w:val="006F5B76"/>
    <w:rsid w:val="00703EAA"/>
    <w:rsid w:val="007060D6"/>
    <w:rsid w:val="00735B8B"/>
    <w:rsid w:val="0073626B"/>
    <w:rsid w:val="0074589B"/>
    <w:rsid w:val="007477AD"/>
    <w:rsid w:val="00755365"/>
    <w:rsid w:val="00761988"/>
    <w:rsid w:val="00771E5D"/>
    <w:rsid w:val="007756EE"/>
    <w:rsid w:val="007C05A1"/>
    <w:rsid w:val="007C52C0"/>
    <w:rsid w:val="007C5A6E"/>
    <w:rsid w:val="007D5C6F"/>
    <w:rsid w:val="007D6012"/>
    <w:rsid w:val="007E3BDB"/>
    <w:rsid w:val="007E3EE0"/>
    <w:rsid w:val="007E67FF"/>
    <w:rsid w:val="007E7A63"/>
    <w:rsid w:val="00816059"/>
    <w:rsid w:val="00816EB4"/>
    <w:rsid w:val="008222CE"/>
    <w:rsid w:val="00835409"/>
    <w:rsid w:val="00844867"/>
    <w:rsid w:val="00844DC3"/>
    <w:rsid w:val="00847A3D"/>
    <w:rsid w:val="00870C67"/>
    <w:rsid w:val="00893468"/>
    <w:rsid w:val="008D161B"/>
    <w:rsid w:val="008D1D12"/>
    <w:rsid w:val="008D7F7B"/>
    <w:rsid w:val="008E19B7"/>
    <w:rsid w:val="00903C9C"/>
    <w:rsid w:val="00904130"/>
    <w:rsid w:val="00917DDD"/>
    <w:rsid w:val="00927E94"/>
    <w:rsid w:val="00940689"/>
    <w:rsid w:val="0095313C"/>
    <w:rsid w:val="00955B5E"/>
    <w:rsid w:val="00956EC4"/>
    <w:rsid w:val="009649E9"/>
    <w:rsid w:val="00974570"/>
    <w:rsid w:val="00977C92"/>
    <w:rsid w:val="009837CD"/>
    <w:rsid w:val="009912B3"/>
    <w:rsid w:val="00994CCB"/>
    <w:rsid w:val="0099589F"/>
    <w:rsid w:val="009A1F6E"/>
    <w:rsid w:val="009A39FD"/>
    <w:rsid w:val="009A5657"/>
    <w:rsid w:val="009D24FE"/>
    <w:rsid w:val="00A04950"/>
    <w:rsid w:val="00A24422"/>
    <w:rsid w:val="00A303CD"/>
    <w:rsid w:val="00A31154"/>
    <w:rsid w:val="00A33B43"/>
    <w:rsid w:val="00A36F40"/>
    <w:rsid w:val="00A51577"/>
    <w:rsid w:val="00A573E6"/>
    <w:rsid w:val="00A5749D"/>
    <w:rsid w:val="00A75B8D"/>
    <w:rsid w:val="00A845EF"/>
    <w:rsid w:val="00A859AC"/>
    <w:rsid w:val="00AA4CCC"/>
    <w:rsid w:val="00AA5EF7"/>
    <w:rsid w:val="00AA74FF"/>
    <w:rsid w:val="00AB7004"/>
    <w:rsid w:val="00AB7624"/>
    <w:rsid w:val="00AC4D5B"/>
    <w:rsid w:val="00AE0CEC"/>
    <w:rsid w:val="00AE2B8D"/>
    <w:rsid w:val="00AE69EE"/>
    <w:rsid w:val="00B13153"/>
    <w:rsid w:val="00B16362"/>
    <w:rsid w:val="00B2396A"/>
    <w:rsid w:val="00B2775A"/>
    <w:rsid w:val="00B374FD"/>
    <w:rsid w:val="00B44506"/>
    <w:rsid w:val="00B71F8A"/>
    <w:rsid w:val="00B8041F"/>
    <w:rsid w:val="00B86AA1"/>
    <w:rsid w:val="00B9666C"/>
    <w:rsid w:val="00BA24AE"/>
    <w:rsid w:val="00BA64FD"/>
    <w:rsid w:val="00BB1BFC"/>
    <w:rsid w:val="00BB3CBB"/>
    <w:rsid w:val="00BB4853"/>
    <w:rsid w:val="00BB56D6"/>
    <w:rsid w:val="00BB7648"/>
    <w:rsid w:val="00BD2DE8"/>
    <w:rsid w:val="00BE28FC"/>
    <w:rsid w:val="00BF1F6C"/>
    <w:rsid w:val="00BF2339"/>
    <w:rsid w:val="00BF6AB8"/>
    <w:rsid w:val="00C00CE7"/>
    <w:rsid w:val="00C25DFC"/>
    <w:rsid w:val="00C27A17"/>
    <w:rsid w:val="00C636D4"/>
    <w:rsid w:val="00C80C7C"/>
    <w:rsid w:val="00CA092C"/>
    <w:rsid w:val="00CA3526"/>
    <w:rsid w:val="00CA5963"/>
    <w:rsid w:val="00CB3DCA"/>
    <w:rsid w:val="00CB7F22"/>
    <w:rsid w:val="00CC3F24"/>
    <w:rsid w:val="00CC4DBB"/>
    <w:rsid w:val="00CD0ECB"/>
    <w:rsid w:val="00CD4C35"/>
    <w:rsid w:val="00CD70EC"/>
    <w:rsid w:val="00CE38DC"/>
    <w:rsid w:val="00CE5C93"/>
    <w:rsid w:val="00CF4213"/>
    <w:rsid w:val="00D21418"/>
    <w:rsid w:val="00D31A10"/>
    <w:rsid w:val="00D328A1"/>
    <w:rsid w:val="00D40209"/>
    <w:rsid w:val="00D456AC"/>
    <w:rsid w:val="00D52F21"/>
    <w:rsid w:val="00D762A8"/>
    <w:rsid w:val="00D8637F"/>
    <w:rsid w:val="00D945FD"/>
    <w:rsid w:val="00DA020A"/>
    <w:rsid w:val="00DA4888"/>
    <w:rsid w:val="00DA75A1"/>
    <w:rsid w:val="00DB35C6"/>
    <w:rsid w:val="00DB7BBD"/>
    <w:rsid w:val="00DD360E"/>
    <w:rsid w:val="00DE1852"/>
    <w:rsid w:val="00DE3015"/>
    <w:rsid w:val="00DF5B52"/>
    <w:rsid w:val="00E14DFE"/>
    <w:rsid w:val="00E150D4"/>
    <w:rsid w:val="00E20A7E"/>
    <w:rsid w:val="00E224F4"/>
    <w:rsid w:val="00E2717A"/>
    <w:rsid w:val="00E30886"/>
    <w:rsid w:val="00E31DCC"/>
    <w:rsid w:val="00E32145"/>
    <w:rsid w:val="00E34C7A"/>
    <w:rsid w:val="00E3612C"/>
    <w:rsid w:val="00E36351"/>
    <w:rsid w:val="00E515C5"/>
    <w:rsid w:val="00E6574D"/>
    <w:rsid w:val="00E8328A"/>
    <w:rsid w:val="00EA6B36"/>
    <w:rsid w:val="00EB5EAC"/>
    <w:rsid w:val="00EC042A"/>
    <w:rsid w:val="00ED7139"/>
    <w:rsid w:val="00EE011B"/>
    <w:rsid w:val="00EE192C"/>
    <w:rsid w:val="00EF4415"/>
    <w:rsid w:val="00EF4BAD"/>
    <w:rsid w:val="00EF5EF9"/>
    <w:rsid w:val="00F006B6"/>
    <w:rsid w:val="00F33F78"/>
    <w:rsid w:val="00F51D76"/>
    <w:rsid w:val="00F54B5B"/>
    <w:rsid w:val="00F60201"/>
    <w:rsid w:val="00F64A0D"/>
    <w:rsid w:val="00F67CD8"/>
    <w:rsid w:val="00F70353"/>
    <w:rsid w:val="00F727E2"/>
    <w:rsid w:val="00F76CE5"/>
    <w:rsid w:val="00F81BA8"/>
    <w:rsid w:val="00F903E4"/>
    <w:rsid w:val="00F91211"/>
    <w:rsid w:val="00FA280E"/>
    <w:rsid w:val="00FE037B"/>
    <w:rsid w:val="00FE2705"/>
    <w:rsid w:val="00FF2333"/>
    <w:rsid w:val="00FF53BD"/>
    <w:rsid w:val="015F0D99"/>
    <w:rsid w:val="2E8C3B29"/>
    <w:rsid w:val="3E4D8C46"/>
    <w:rsid w:val="42E27DA9"/>
    <w:rsid w:val="575362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A380"/>
  <w15:chartTrackingRefBased/>
  <w15:docId w15:val="{1276519D-1D82-414A-9AEA-5F875C2D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526"/>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uiPriority w:val="9"/>
    <w:qFormat/>
    <w:rsid w:val="00C80C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0C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80C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C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C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C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C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C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C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C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0C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80C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C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C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C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C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C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C7C"/>
    <w:rPr>
      <w:rFonts w:eastAsiaTheme="majorEastAsia" w:cstheme="majorBidi"/>
      <w:color w:val="272727" w:themeColor="text1" w:themeTint="D8"/>
    </w:rPr>
  </w:style>
  <w:style w:type="paragraph" w:styleId="Title">
    <w:name w:val="Title"/>
    <w:basedOn w:val="Normal"/>
    <w:next w:val="Normal"/>
    <w:link w:val="TitleChar"/>
    <w:uiPriority w:val="10"/>
    <w:qFormat/>
    <w:rsid w:val="00C80C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C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C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C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C7C"/>
    <w:pPr>
      <w:spacing w:before="160"/>
      <w:jc w:val="center"/>
    </w:pPr>
    <w:rPr>
      <w:i/>
      <w:iCs/>
      <w:color w:val="404040" w:themeColor="text1" w:themeTint="BF"/>
    </w:rPr>
  </w:style>
  <w:style w:type="character" w:customStyle="1" w:styleId="QuoteChar">
    <w:name w:val="Quote Char"/>
    <w:basedOn w:val="DefaultParagraphFont"/>
    <w:link w:val="Quote"/>
    <w:uiPriority w:val="29"/>
    <w:rsid w:val="00C80C7C"/>
    <w:rPr>
      <w:i/>
      <w:iCs/>
      <w:color w:val="404040" w:themeColor="text1" w:themeTint="BF"/>
    </w:rPr>
  </w:style>
  <w:style w:type="paragraph" w:styleId="ListParagraph">
    <w:name w:val="List Paragraph"/>
    <w:basedOn w:val="Normal"/>
    <w:uiPriority w:val="34"/>
    <w:qFormat/>
    <w:rsid w:val="00C80C7C"/>
    <w:pPr>
      <w:ind w:left="720"/>
      <w:contextualSpacing/>
    </w:pPr>
  </w:style>
  <w:style w:type="character" w:styleId="IntenseEmphasis">
    <w:name w:val="Intense Emphasis"/>
    <w:basedOn w:val="DefaultParagraphFont"/>
    <w:uiPriority w:val="21"/>
    <w:qFormat/>
    <w:rsid w:val="00C80C7C"/>
    <w:rPr>
      <w:i/>
      <w:iCs/>
      <w:color w:val="0F4761" w:themeColor="accent1" w:themeShade="BF"/>
    </w:rPr>
  </w:style>
  <w:style w:type="paragraph" w:styleId="IntenseQuote">
    <w:name w:val="Intense Quote"/>
    <w:basedOn w:val="Normal"/>
    <w:next w:val="Normal"/>
    <w:link w:val="IntenseQuoteChar"/>
    <w:uiPriority w:val="30"/>
    <w:qFormat/>
    <w:rsid w:val="00C80C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C7C"/>
    <w:rPr>
      <w:i/>
      <w:iCs/>
      <w:color w:val="0F4761" w:themeColor="accent1" w:themeShade="BF"/>
    </w:rPr>
  </w:style>
  <w:style w:type="character" w:styleId="IntenseReference">
    <w:name w:val="Intense Reference"/>
    <w:basedOn w:val="DefaultParagraphFont"/>
    <w:uiPriority w:val="32"/>
    <w:qFormat/>
    <w:rsid w:val="00C80C7C"/>
    <w:rPr>
      <w:b/>
      <w:bCs/>
      <w:smallCaps/>
      <w:color w:val="0F4761" w:themeColor="accent1" w:themeShade="BF"/>
      <w:spacing w:val="5"/>
    </w:rPr>
  </w:style>
  <w:style w:type="character" w:styleId="Hyperlink">
    <w:name w:val="Hyperlink"/>
    <w:basedOn w:val="DefaultParagraphFont"/>
    <w:uiPriority w:val="99"/>
    <w:unhideWhenUsed/>
    <w:rsid w:val="00CA3526"/>
    <w:rPr>
      <w:color w:val="467886" w:themeColor="hyperlink"/>
      <w:u w:val="single"/>
    </w:rPr>
  </w:style>
  <w:style w:type="paragraph" w:styleId="FootnoteText">
    <w:name w:val="footnote text"/>
    <w:basedOn w:val="Normal"/>
    <w:link w:val="FootnoteTextChar"/>
    <w:uiPriority w:val="99"/>
    <w:semiHidden/>
    <w:unhideWhenUsed/>
    <w:rsid w:val="00CA3526"/>
    <w:pPr>
      <w:spacing w:after="0" w:line="240" w:lineRule="auto"/>
    </w:pPr>
    <w:rPr>
      <w:rFonts w:eastAsiaTheme="minorHAnsi"/>
      <w:kern w:val="2"/>
      <w:sz w:val="20"/>
      <w:szCs w:val="20"/>
      <w:lang w:val="en-AU" w:eastAsia="en-US"/>
      <w14:ligatures w14:val="standardContextual"/>
    </w:rPr>
  </w:style>
  <w:style w:type="character" w:customStyle="1" w:styleId="FootnoteTextChar">
    <w:name w:val="Footnote Text Char"/>
    <w:basedOn w:val="DefaultParagraphFont"/>
    <w:link w:val="FootnoteText"/>
    <w:uiPriority w:val="99"/>
    <w:semiHidden/>
    <w:rsid w:val="00CA3526"/>
    <w:rPr>
      <w:sz w:val="20"/>
      <w:szCs w:val="20"/>
    </w:rPr>
  </w:style>
  <w:style w:type="character" w:styleId="FootnoteReference">
    <w:name w:val="footnote reference"/>
    <w:basedOn w:val="DefaultParagraphFont"/>
    <w:uiPriority w:val="99"/>
    <w:semiHidden/>
    <w:unhideWhenUsed/>
    <w:rsid w:val="00CA3526"/>
    <w:rPr>
      <w:vertAlign w:val="superscript"/>
    </w:rPr>
  </w:style>
  <w:style w:type="character" w:styleId="CommentReference">
    <w:name w:val="annotation reference"/>
    <w:basedOn w:val="DefaultParagraphFont"/>
    <w:uiPriority w:val="99"/>
    <w:semiHidden/>
    <w:unhideWhenUsed/>
    <w:rsid w:val="00CA3526"/>
    <w:rPr>
      <w:sz w:val="16"/>
      <w:szCs w:val="16"/>
    </w:rPr>
  </w:style>
  <w:style w:type="paragraph" w:styleId="CommentText">
    <w:name w:val="annotation text"/>
    <w:basedOn w:val="Normal"/>
    <w:link w:val="CommentTextChar"/>
    <w:uiPriority w:val="99"/>
    <w:unhideWhenUsed/>
    <w:rsid w:val="00CA3526"/>
    <w:pPr>
      <w:spacing w:line="240" w:lineRule="auto"/>
    </w:pPr>
    <w:rPr>
      <w:rFonts w:eastAsiaTheme="minorHAnsi"/>
      <w:kern w:val="2"/>
      <w:sz w:val="20"/>
      <w:szCs w:val="20"/>
      <w:lang w:val="en-AU" w:eastAsia="en-US"/>
      <w14:ligatures w14:val="standardContextual"/>
    </w:rPr>
  </w:style>
  <w:style w:type="character" w:customStyle="1" w:styleId="CommentTextChar">
    <w:name w:val="Comment Text Char"/>
    <w:basedOn w:val="DefaultParagraphFont"/>
    <w:link w:val="CommentText"/>
    <w:uiPriority w:val="99"/>
    <w:rsid w:val="00CA3526"/>
    <w:rPr>
      <w:sz w:val="20"/>
      <w:szCs w:val="20"/>
    </w:rPr>
  </w:style>
  <w:style w:type="character" w:customStyle="1" w:styleId="normaltextrun">
    <w:name w:val="normaltextrun"/>
    <w:basedOn w:val="DefaultParagraphFont"/>
    <w:rsid w:val="00CA092C"/>
  </w:style>
  <w:style w:type="character" w:customStyle="1" w:styleId="eop">
    <w:name w:val="eop"/>
    <w:basedOn w:val="DefaultParagraphFont"/>
    <w:rsid w:val="00CA092C"/>
  </w:style>
  <w:style w:type="paragraph" w:customStyle="1" w:styleId="paragraph">
    <w:name w:val="paragraph"/>
    <w:basedOn w:val="Normal"/>
    <w:rsid w:val="00CA092C"/>
    <w:pPr>
      <w:spacing w:before="100" w:beforeAutospacing="1" w:after="100" w:afterAutospacing="1" w:line="240" w:lineRule="auto"/>
    </w:pPr>
    <w:rPr>
      <w:rFonts w:ascii="Times New Roman" w:eastAsia="Times New Roman" w:hAnsi="Times New Roman" w:cs="Times New Roman"/>
      <w:sz w:val="22"/>
      <w:lang w:val="en-AU" w:eastAsia="en-AU"/>
    </w:rPr>
  </w:style>
  <w:style w:type="paragraph" w:styleId="Header">
    <w:name w:val="header"/>
    <w:basedOn w:val="Normal"/>
    <w:link w:val="HeaderChar"/>
    <w:uiPriority w:val="99"/>
    <w:unhideWhenUsed/>
    <w:rsid w:val="005355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5E9"/>
    <w:rPr>
      <w:rFonts w:eastAsiaTheme="minorEastAsia"/>
      <w:kern w:val="0"/>
      <w:lang w:val="en-US" w:eastAsia="ja-JP"/>
      <w14:ligatures w14:val="none"/>
    </w:rPr>
  </w:style>
  <w:style w:type="paragraph" w:styleId="Footer">
    <w:name w:val="footer"/>
    <w:basedOn w:val="Normal"/>
    <w:link w:val="FooterChar"/>
    <w:uiPriority w:val="99"/>
    <w:unhideWhenUsed/>
    <w:rsid w:val="00535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5E9"/>
    <w:rPr>
      <w:rFonts w:eastAsiaTheme="minorEastAsia"/>
      <w:kern w:val="0"/>
      <w:lang w:val="en-US" w:eastAsia="ja-JP"/>
      <w14:ligatures w14:val="none"/>
    </w:rPr>
  </w:style>
  <w:style w:type="character" w:styleId="UnresolvedMention">
    <w:name w:val="Unresolved Mention"/>
    <w:basedOn w:val="DefaultParagraphFont"/>
    <w:uiPriority w:val="99"/>
    <w:semiHidden/>
    <w:unhideWhenUsed/>
    <w:rsid w:val="00835409"/>
    <w:rPr>
      <w:color w:val="605E5C"/>
      <w:shd w:val="clear" w:color="auto" w:fill="E1DFDD"/>
    </w:rPr>
  </w:style>
  <w:style w:type="character" w:styleId="FollowedHyperlink">
    <w:name w:val="FollowedHyperlink"/>
    <w:basedOn w:val="DefaultParagraphFont"/>
    <w:uiPriority w:val="99"/>
    <w:semiHidden/>
    <w:unhideWhenUsed/>
    <w:rsid w:val="00C636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nington.org.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gov.au/sites/default/files/2025-12/drug-and-alcohol-program-final-evaluation-report.pdf" TargetMode="External"/><Relationship Id="rId7" Type="http://schemas.openxmlformats.org/officeDocument/2006/relationships/hyperlink" Target="https://onlinelibrary.wiley.com/doi/full/10.1111/dar.14079" TargetMode="External"/><Relationship Id="rId2" Type="http://schemas.openxmlformats.org/officeDocument/2006/relationships/hyperlink" Target="https://www.health.gov.au/sites/default/files/national-drug-strategy-2017-2026.pdf" TargetMode="External"/><Relationship Id="rId1" Type="http://schemas.openxmlformats.org/officeDocument/2006/relationships/hyperlink" Target="https://www.aihw.gov.au/reports/illicit-use-of-drugs/national-drug-strategy-household-survey/contents/about" TargetMode="External"/><Relationship Id="rId6" Type="http://schemas.openxmlformats.org/officeDocument/2006/relationships/hyperlink" Target="https://link.springer.com/article/10.1186/s12954-017-0141-6" TargetMode="External"/><Relationship Id="rId5" Type="http://schemas.openxmlformats.org/officeDocument/2006/relationships/hyperlink" Target="https://www.health.gov.au/sites/default/files/national-drug-strategy-2017-2026.pdf" TargetMode="External"/><Relationship Id="rId4" Type="http://schemas.openxmlformats.org/officeDocument/2006/relationships/hyperlink" Target="https://www.health.gov.au/sites/default/files/2025-12/drug-and-alcohol-program-final-evaluation-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A2F8AC3670164788D58F998F9AB6B5" ma:contentTypeVersion="9" ma:contentTypeDescription="Create a new document." ma:contentTypeScope="" ma:versionID="42c4c3345d10042b6431c4725a26804c">
  <xsd:schema xmlns:xsd="http://www.w3.org/2001/XMLSchema" xmlns:xs="http://www.w3.org/2001/XMLSchema" xmlns:p="http://schemas.microsoft.com/office/2006/metadata/properties" xmlns:ns3="34a25ff2-f374-4a9e-9e3d-e07739ae9674" targetNamespace="http://schemas.microsoft.com/office/2006/metadata/properties" ma:root="true" ma:fieldsID="af7efe4fe6c090e5089524a7747eb981" ns3:_="">
    <xsd:import namespace="34a25ff2-f374-4a9e-9e3d-e07739ae967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5ff2-f374-4a9e-9e3d-e07739ae967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4a25ff2-f374-4a9e-9e3d-e07739ae9674" xsi:nil="true"/>
  </documentManagement>
</p:properties>
</file>

<file path=customXml/itemProps1.xml><?xml version="1.0" encoding="utf-8"?>
<ds:datastoreItem xmlns:ds="http://schemas.openxmlformats.org/officeDocument/2006/customXml" ds:itemID="{CEE11F1E-83F5-417E-B94C-0BC56FBF2C04}">
  <ds:schemaRefs>
    <ds:schemaRef ds:uri="http://schemas.openxmlformats.org/officeDocument/2006/bibliography"/>
  </ds:schemaRefs>
</ds:datastoreItem>
</file>

<file path=customXml/itemProps2.xml><?xml version="1.0" encoding="utf-8"?>
<ds:datastoreItem xmlns:ds="http://schemas.openxmlformats.org/officeDocument/2006/customXml" ds:itemID="{C1994B9F-F2FA-4637-B5BA-C13E18417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25ff2-f374-4a9e-9e3d-e07739ae9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F791F6-D7D6-4929-855A-A83421F0920A}">
  <ds:schemaRefs>
    <ds:schemaRef ds:uri="http://schemas.microsoft.com/sharepoint/v3/contenttype/forms"/>
  </ds:schemaRefs>
</ds:datastoreItem>
</file>

<file path=customXml/itemProps4.xml><?xml version="1.0" encoding="utf-8"?>
<ds:datastoreItem xmlns:ds="http://schemas.openxmlformats.org/officeDocument/2006/customXml" ds:itemID="{8325A042-4E87-4658-A4A9-CBC16BFA2DDF}">
  <ds:schemaRefs>
    <ds:schemaRef ds:uri="http://schemas.microsoft.com/office/2006/documentManagement/types"/>
    <ds:schemaRef ds:uri="http://purl.org/dc/elements/1.1/"/>
    <ds:schemaRef ds:uri="http://www.w3.org/XML/1998/namespace"/>
    <ds:schemaRef ds:uri="http://schemas.microsoft.com/office/infopath/2007/PartnerControls"/>
    <ds:schemaRef ds:uri="34a25ff2-f374-4a9e-9e3d-e07739ae9674"/>
    <ds:schemaRef ds:uri="http://schemas.microsoft.com/office/2006/metadata/propertie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2243</Words>
  <Characters>12788</Characters>
  <Application>Microsoft Office Word</Application>
  <DocSecurity>0</DocSecurity>
  <Lines>106</Lines>
  <Paragraphs>30</Paragraphs>
  <ScaleCrop>false</ScaleCrop>
  <Company/>
  <LinksUpToDate>false</LinksUpToDate>
  <CharactersWithSpaces>15001</CharactersWithSpaces>
  <SharedDoc>false</SharedDoc>
  <HLinks>
    <vt:vector size="48" baseType="variant">
      <vt:variant>
        <vt:i4>458835</vt:i4>
      </vt:variant>
      <vt:variant>
        <vt:i4>0</vt:i4>
      </vt:variant>
      <vt:variant>
        <vt:i4>0</vt:i4>
      </vt:variant>
      <vt:variant>
        <vt:i4>5</vt:i4>
      </vt:variant>
      <vt:variant>
        <vt:lpwstr>http://www.penington.org.au/</vt:lpwstr>
      </vt:variant>
      <vt:variant>
        <vt:lpwstr/>
      </vt:variant>
      <vt:variant>
        <vt:i4>4063276</vt:i4>
      </vt:variant>
      <vt:variant>
        <vt:i4>18</vt:i4>
      </vt:variant>
      <vt:variant>
        <vt:i4>0</vt:i4>
      </vt:variant>
      <vt:variant>
        <vt:i4>5</vt:i4>
      </vt:variant>
      <vt:variant>
        <vt:lpwstr>https://onlinelibrary.wiley.com/doi/full/10.1111/dar.14079</vt:lpwstr>
      </vt:variant>
      <vt:variant>
        <vt:lpwstr/>
      </vt:variant>
      <vt:variant>
        <vt:i4>2818080</vt:i4>
      </vt:variant>
      <vt:variant>
        <vt:i4>15</vt:i4>
      </vt:variant>
      <vt:variant>
        <vt:i4>0</vt:i4>
      </vt:variant>
      <vt:variant>
        <vt:i4>5</vt:i4>
      </vt:variant>
      <vt:variant>
        <vt:lpwstr>https://link.springer.com/article/10.1186/s12954-017-0141-6</vt:lpwstr>
      </vt:variant>
      <vt:variant>
        <vt:lpwstr/>
      </vt:variant>
      <vt:variant>
        <vt:i4>3145847</vt:i4>
      </vt:variant>
      <vt:variant>
        <vt:i4>12</vt:i4>
      </vt:variant>
      <vt:variant>
        <vt:i4>0</vt:i4>
      </vt:variant>
      <vt:variant>
        <vt:i4>5</vt:i4>
      </vt:variant>
      <vt:variant>
        <vt:lpwstr>https://www.health.gov.au/sites/default/files/national-drug-strategy-2017-2026.pdf</vt:lpwstr>
      </vt:variant>
      <vt:variant>
        <vt:lpwstr/>
      </vt:variant>
      <vt:variant>
        <vt:i4>7798834</vt:i4>
      </vt:variant>
      <vt:variant>
        <vt:i4>9</vt:i4>
      </vt:variant>
      <vt:variant>
        <vt:i4>0</vt:i4>
      </vt:variant>
      <vt:variant>
        <vt:i4>5</vt:i4>
      </vt:variant>
      <vt:variant>
        <vt:lpwstr>https://www.health.gov.au/sites/default/files/2025-12/drug-and-alcohol-program-final-evaluation-report.pdf</vt:lpwstr>
      </vt:variant>
      <vt:variant>
        <vt:lpwstr/>
      </vt:variant>
      <vt:variant>
        <vt:i4>7798834</vt:i4>
      </vt:variant>
      <vt:variant>
        <vt:i4>6</vt:i4>
      </vt:variant>
      <vt:variant>
        <vt:i4>0</vt:i4>
      </vt:variant>
      <vt:variant>
        <vt:i4>5</vt:i4>
      </vt:variant>
      <vt:variant>
        <vt:lpwstr>https://www.health.gov.au/sites/default/files/2025-12/drug-and-alcohol-program-final-evaluation-report.pdf</vt:lpwstr>
      </vt:variant>
      <vt:variant>
        <vt:lpwstr/>
      </vt:variant>
      <vt:variant>
        <vt:i4>3145847</vt:i4>
      </vt:variant>
      <vt:variant>
        <vt:i4>3</vt:i4>
      </vt:variant>
      <vt:variant>
        <vt:i4>0</vt:i4>
      </vt:variant>
      <vt:variant>
        <vt:i4>5</vt:i4>
      </vt:variant>
      <vt:variant>
        <vt:lpwstr>https://www.health.gov.au/sites/default/files/national-drug-strategy-2017-2026.pdf</vt:lpwstr>
      </vt:variant>
      <vt:variant>
        <vt:lpwstr/>
      </vt:variant>
      <vt:variant>
        <vt:i4>3866661</vt:i4>
      </vt:variant>
      <vt:variant>
        <vt:i4>0</vt:i4>
      </vt:variant>
      <vt:variant>
        <vt:i4>0</vt:i4>
      </vt:variant>
      <vt:variant>
        <vt:i4>5</vt:i4>
      </vt:variant>
      <vt:variant>
        <vt:lpwstr>https://www.aihw.gov.au/reports/illicit-use-of-drugs/national-drug-strategy-household-survey/contents/about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Ryburn</dc:creator>
  <cp:keywords/>
  <dc:description/>
  <cp:lastModifiedBy>Gray Ryburn</cp:lastModifiedBy>
  <cp:revision>2</cp:revision>
  <cp:lastPrinted>2026-03-19T02:25:00Z</cp:lastPrinted>
  <dcterms:created xsi:type="dcterms:W3CDTF">2026-03-19T02:28:00Z</dcterms:created>
  <dcterms:modified xsi:type="dcterms:W3CDTF">2026-03-19T02:28:00Z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0x01010051A2F8AC3670164788D58F998F9AB6B5</vt:lpwstr>
  </property>
</Properties>
</file>